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rPr>
      </w:pPr>
      <w:r>
        <w:rPr>
          <w:rFonts w:ascii="黑体" w:hAnsi="黑体" w:eastAsia="黑体"/>
        </w:rPr>
        <w:t>ICS</w:t>
      </w:r>
      <w:r>
        <w:rPr>
          <w:rFonts w:hint="eastAsia" w:ascii="黑体" w:hAnsi="黑体" w:eastAsia="黑体"/>
        </w:rPr>
        <w:t xml:space="preserve"> </w:t>
      </w:r>
      <w:r>
        <w:rPr>
          <w:rFonts w:ascii="黑体" w:hAnsi="黑体" w:eastAsia="黑体"/>
        </w:rPr>
        <w:t>67.120.30</w:t>
      </w:r>
    </w:p>
    <w:p>
      <w:pPr>
        <w:rPr>
          <w:rFonts w:ascii="黑体" w:hAnsi="黑体" w:eastAsia="黑体"/>
        </w:rPr>
      </w:pPr>
      <w:r>
        <w:rPr>
          <w:rFonts w:ascii="黑体" w:hAnsi="黑体" w:eastAsia="黑体"/>
        </w:rPr>
        <w:t>CCS X</w:t>
      </w:r>
      <w:r>
        <w:rPr>
          <w:rFonts w:hint="eastAsia" w:ascii="黑体" w:hAnsi="黑体" w:eastAsia="黑体"/>
        </w:rPr>
        <w:t xml:space="preserve"> </w:t>
      </w:r>
      <w:r>
        <w:rPr>
          <w:rFonts w:ascii="黑体" w:hAnsi="黑体" w:eastAsia="黑体"/>
        </w:rPr>
        <w:t>20</w:t>
      </w:r>
    </w:p>
    <w:p>
      <w:pPr>
        <w:rPr>
          <w:rFonts w:ascii="宋体" w:hAnsi="宋体"/>
        </w:rPr>
      </w:pPr>
    </w:p>
    <w:p>
      <w:pPr>
        <w:jc w:val="center"/>
        <w:rPr>
          <w:rFonts w:ascii="黑体" w:hAnsi="黑体" w:eastAsia="黑体"/>
          <w:sz w:val="84"/>
          <w:szCs w:val="84"/>
        </w:rPr>
      </w:pPr>
      <w:r>
        <w:rPr>
          <w:rFonts w:hint="eastAsia" w:ascii="黑体" w:hAnsi="黑体" w:eastAsia="黑体"/>
          <w:sz w:val="84"/>
          <w:szCs w:val="84"/>
        </w:rPr>
        <w:t>团   体   标   准</w:t>
      </w:r>
    </w:p>
    <w:p>
      <w:pPr>
        <w:tabs>
          <w:tab w:val="center" w:pos="4153"/>
          <w:tab w:val="right" w:pos="8306"/>
        </w:tabs>
        <w:wordWrap w:val="0"/>
        <w:snapToGrid w:val="0"/>
        <w:ind w:right="180"/>
        <w:jc w:val="right"/>
        <w:rPr>
          <w:rFonts w:ascii="黑体" w:hAnsi="黑体" w:eastAsia="黑体"/>
          <w:sz w:val="24"/>
        </w:rPr>
      </w:pPr>
      <w:r>
        <w:rPr>
          <w:rFonts w:ascii="黑体" w:hAnsi="黑体" w:eastAsia="黑体"/>
          <w:sz w:val="24"/>
        </w:rPr>
        <w:t xml:space="preserve">T/CAPPMA XX-20XX  </w:t>
      </w:r>
    </w:p>
    <w:p>
      <w:pPr>
        <w:tabs>
          <w:tab w:val="center" w:pos="4153"/>
          <w:tab w:val="right" w:pos="8306"/>
        </w:tabs>
        <w:snapToGrid w:val="0"/>
        <w:ind w:right="180"/>
        <w:jc w:val="right"/>
        <w:rPr>
          <w:rFonts w:ascii="黑体" w:hAnsi="黑体" w:eastAsia="黑体"/>
          <w:sz w:val="24"/>
        </w:rPr>
      </w:pPr>
    </w:p>
    <w:p>
      <w:pPr>
        <w:rPr>
          <w:b/>
          <w:sz w:val="48"/>
          <w:szCs w:val="48"/>
        </w:rPr>
      </w:pPr>
      <w: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71120</wp:posOffset>
                </wp:positionV>
                <wp:extent cx="5831840" cy="0"/>
                <wp:effectExtent l="0" t="9525" r="16510" b="9525"/>
                <wp:wrapNone/>
                <wp:docPr id="1" name="直接箭头连接符 1"/>
                <wp:cNvGraphicFramePr/>
                <a:graphic xmlns:a="http://schemas.openxmlformats.org/drawingml/2006/main">
                  <a:graphicData uri="http://schemas.microsoft.com/office/word/2010/wordprocessingShape">
                    <wps:wsp>
                      <wps:cNvCnPr/>
                      <wps:spPr>
                        <a:xfrm>
                          <a:off x="0" y="0"/>
                          <a:ext cx="583184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5pt;margin-top:5.6pt;height:0pt;width:459.2pt;z-index:251659264;mso-width-relative:page;mso-height-relative:page;" filled="f" stroked="t" coordsize="21600,21600" o:gfxdata="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5UW9J0AAAAAcBAAAPAAAAAAAAAAEAIAAAACIAAABkcnMvZG93bnJldi54bWxQSwEC&#10;FAAUAAAACACHTuJAaY6m3fwBAADtAwAADgAAAAAAAAABACAAAAAfAQAAZHJzL2Uyb0RvYy54bWxQ&#10;SwUGAAAAAAYABgBZAQAAjQUAAAAA&#10;">
                <v:fill on="f" focussize="0,0"/>
                <v:stroke weight="1.5pt" color="#000000" joinstyle="round"/>
                <v:imagedata o:title=""/>
                <o:lock v:ext="edit" aspectratio="f"/>
              </v:shape>
            </w:pict>
          </mc:Fallback>
        </mc:AlternateContent>
      </w:r>
    </w:p>
    <w:p>
      <w:pPr>
        <w:rPr>
          <w:rFonts w:ascii="Calibri" w:hAnsi="Calibri"/>
          <w:b/>
          <w:sz w:val="48"/>
          <w:szCs w:val="48"/>
        </w:rPr>
      </w:pPr>
    </w:p>
    <w:p>
      <w:pPr>
        <w:rPr>
          <w:rFonts w:ascii="Calibri" w:hAnsi="Calibri"/>
          <w:b/>
          <w:sz w:val="48"/>
          <w:szCs w:val="48"/>
        </w:rPr>
      </w:pPr>
    </w:p>
    <w:p>
      <w:pPr>
        <w:spacing w:line="600" w:lineRule="auto"/>
        <w:jc w:val="center"/>
        <w:rPr>
          <w:rFonts w:ascii="黑体" w:hAnsi="黑体" w:eastAsia="黑体"/>
          <w:sz w:val="48"/>
          <w:szCs w:val="48"/>
        </w:rPr>
      </w:pPr>
      <w:r>
        <w:rPr>
          <w:rFonts w:hint="eastAsia" w:ascii="黑体" w:hAnsi="黑体" w:eastAsia="黑体"/>
          <w:sz w:val="48"/>
          <w:szCs w:val="48"/>
        </w:rPr>
        <w:t>冰鲜河鲀流通规范</w:t>
      </w:r>
    </w:p>
    <w:p>
      <w:pPr>
        <w:spacing w:line="480" w:lineRule="auto"/>
        <w:jc w:val="center"/>
        <w:rPr>
          <w:rFonts w:ascii="黑体" w:hAnsi="黑体" w:eastAsia="黑体" w:cs="黑体"/>
          <w:sz w:val="28"/>
          <w:szCs w:val="28"/>
        </w:rPr>
      </w:pPr>
      <w:r>
        <w:rPr>
          <w:rFonts w:ascii="黑体" w:hAnsi="黑体" w:eastAsia="黑体" w:cs="黑体"/>
          <w:sz w:val="28"/>
          <w:szCs w:val="28"/>
        </w:rPr>
        <w:t>Circulation specification of frozen fresh puffer fish</w:t>
      </w:r>
    </w:p>
    <w:p>
      <w:pPr>
        <w:spacing w:line="480" w:lineRule="auto"/>
        <w:jc w:val="center"/>
        <w:rPr>
          <w:sz w:val="30"/>
          <w:szCs w:val="30"/>
        </w:rPr>
      </w:pPr>
      <w:r>
        <w:rPr>
          <w:sz w:val="30"/>
          <w:szCs w:val="30"/>
        </w:rPr>
        <w:t>（征求意见稿）</w:t>
      </w:r>
    </w:p>
    <w:p>
      <w:pPr>
        <w:spacing w:line="480" w:lineRule="auto"/>
        <w:jc w:val="center"/>
        <w:rPr>
          <w:sz w:val="28"/>
          <w:szCs w:val="28"/>
        </w:rPr>
      </w:pPr>
      <w:r>
        <w:rPr>
          <w:rFonts w:hint="eastAsia"/>
          <w:sz w:val="28"/>
          <w:szCs w:val="28"/>
        </w:rPr>
        <w:t>在提交反馈意见时，请将您知道的相关专利连同支持性文件一并附上。</w:t>
      </w:r>
    </w:p>
    <w:p>
      <w:pPr>
        <w:spacing w:line="480" w:lineRule="auto"/>
        <w:rPr>
          <w:sz w:val="30"/>
          <w:szCs w:val="30"/>
        </w:rPr>
      </w:pPr>
    </w:p>
    <w:p>
      <w:pPr>
        <w:spacing w:line="480" w:lineRule="auto"/>
        <w:rPr>
          <w:sz w:val="30"/>
          <w:szCs w:val="30"/>
        </w:rPr>
      </w:pPr>
    </w:p>
    <w:p>
      <w:pPr>
        <w:spacing w:line="480" w:lineRule="auto"/>
        <w:rPr>
          <w:sz w:val="30"/>
          <w:szCs w:val="30"/>
        </w:rPr>
      </w:pPr>
    </w:p>
    <w:p>
      <w:pPr>
        <w:spacing w:line="480" w:lineRule="auto"/>
        <w:rPr>
          <w:sz w:val="30"/>
          <w:szCs w:val="30"/>
        </w:rPr>
      </w:pPr>
    </w:p>
    <w:p>
      <w:pPr>
        <w:spacing w:line="480" w:lineRule="auto"/>
        <w:rPr>
          <w:sz w:val="30"/>
          <w:szCs w:val="30"/>
        </w:rPr>
      </w:pPr>
    </w:p>
    <w:p>
      <w:pPr>
        <w:spacing w:line="600" w:lineRule="auto"/>
        <w:rPr>
          <w:sz w:val="30"/>
          <w:szCs w:val="30"/>
        </w:rPr>
      </w:pPr>
    </w:p>
    <w:p>
      <w:pPr>
        <w:spacing w:line="600" w:lineRule="auto"/>
        <w:rPr>
          <w:rFonts w:ascii="方正粗圆简体" w:hAnsi="方正粗宋简体" w:eastAsia="方正粗圆简体"/>
          <w:sz w:val="30"/>
          <w:szCs w:val="30"/>
          <w:u w:val="single"/>
        </w:rPr>
      </w:pPr>
      <w:r>
        <w:rPr>
          <w:sz w:val="30"/>
          <w:szCs w:val="30"/>
          <w:u w:val="single"/>
        </w:rPr>
        <w:t>20XX-XX-XX</w:t>
      </w:r>
      <w:r>
        <w:rPr>
          <w:rFonts w:hint="eastAsia" w:ascii="黑体" w:hAnsi="黑体" w:eastAsia="黑体"/>
          <w:sz w:val="30"/>
          <w:szCs w:val="30"/>
          <w:u w:val="single"/>
        </w:rPr>
        <w:t>发布</w:t>
      </w:r>
      <w:r>
        <w:rPr>
          <w:sz w:val="30"/>
          <w:szCs w:val="30"/>
          <w:u w:val="single"/>
        </w:rPr>
        <w:t xml:space="preserve">                            </w:t>
      </w:r>
      <w:r>
        <w:rPr>
          <w:rFonts w:hint="eastAsia"/>
          <w:sz w:val="30"/>
          <w:szCs w:val="30"/>
          <w:u w:val="single"/>
        </w:rPr>
        <w:t xml:space="preserve">   </w:t>
      </w:r>
      <w:r>
        <w:rPr>
          <w:sz w:val="30"/>
          <w:szCs w:val="30"/>
          <w:u w:val="single"/>
        </w:rPr>
        <w:t>20XX-XX-XX</w:t>
      </w:r>
      <w:r>
        <w:rPr>
          <w:rFonts w:hint="eastAsia" w:ascii="黑体" w:hAnsi="黑体" w:eastAsia="黑体"/>
          <w:sz w:val="30"/>
          <w:szCs w:val="30"/>
          <w:u w:val="single"/>
        </w:rPr>
        <w:t xml:space="preserve">实施   </w:t>
      </w:r>
    </w:p>
    <w:p>
      <w:pPr>
        <w:jc w:val="center"/>
        <w:rPr>
          <w:sz w:val="30"/>
          <w:szCs w:val="30"/>
        </w:rPr>
      </w:pPr>
      <w:r>
        <w:rPr>
          <w:rFonts w:hint="eastAsia"/>
          <w:b/>
          <w:bCs/>
          <w:sz w:val="30"/>
          <w:szCs w:val="30"/>
        </w:rPr>
        <w:t>中国水产流通与加工协会</w:t>
      </w:r>
      <w:r>
        <w:rPr>
          <w:rFonts w:hint="eastAsia"/>
          <w:sz w:val="30"/>
          <w:szCs w:val="30"/>
        </w:rPr>
        <w:t xml:space="preserve"> </w:t>
      </w:r>
      <w:r>
        <w:rPr>
          <w:rFonts w:hint="eastAsia"/>
          <w:b/>
          <w:sz w:val="30"/>
          <w:szCs w:val="30"/>
        </w:rPr>
        <w:t>发布</w:t>
      </w:r>
    </w:p>
    <w:p>
      <w:pPr>
        <w:pStyle w:val="2"/>
        <w:jc w:val="center"/>
        <w:rPr>
          <w:rFonts w:ascii="黑体" w:hAnsi="黑体" w:eastAsia="黑体" w:cs="黑体"/>
          <w:b w:val="0"/>
          <w:bCs w:val="0"/>
          <w:sz w:val="32"/>
          <w:szCs w:val="32"/>
        </w:rPr>
        <w:sectPr>
          <w:pgSz w:w="11906" w:h="16838"/>
          <w:pgMar w:top="1134" w:right="1134" w:bottom="1134" w:left="1417" w:header="851" w:footer="992" w:gutter="0"/>
          <w:cols w:space="425" w:num="1"/>
          <w:docGrid w:type="lines" w:linePitch="312" w:charSpace="0"/>
        </w:sectPr>
      </w:pPr>
    </w:p>
    <w:p>
      <w:pPr>
        <w:pStyle w:val="2"/>
        <w:rPr>
          <w:rFonts w:ascii="黑体" w:hAnsi="黑体" w:eastAsia="黑体" w:cs="黑体"/>
          <w:b w:val="0"/>
          <w:bCs w:val="0"/>
          <w:sz w:val="32"/>
          <w:szCs w:val="32"/>
        </w:rPr>
        <w:sectPr>
          <w:footerReference r:id="rId3" w:type="default"/>
          <w:pgSz w:w="11906" w:h="16838"/>
          <w:pgMar w:top="1134" w:right="1134" w:bottom="1134" w:left="1417" w:header="851" w:footer="992" w:gutter="0"/>
          <w:pgNumType w:start="1"/>
          <w:cols w:space="425" w:num="1"/>
          <w:docGrid w:type="lines" w:linePitch="312" w:charSpace="0"/>
        </w:sectPr>
      </w:pPr>
    </w:p>
    <w:p>
      <w:pPr>
        <w:pStyle w:val="2"/>
        <w:jc w:val="center"/>
        <w:rPr>
          <w:rFonts w:ascii="黑体" w:hAnsi="黑体" w:eastAsia="黑体" w:cs="黑体"/>
          <w:b w:val="0"/>
          <w:bCs w:val="0"/>
          <w:sz w:val="32"/>
          <w:szCs w:val="32"/>
        </w:rPr>
      </w:pPr>
      <w:r>
        <w:rPr>
          <w:rFonts w:hint="eastAsia" w:ascii="黑体" w:hAnsi="黑体" w:eastAsia="黑体" w:cs="黑体"/>
          <w:b w:val="0"/>
          <w:bCs w:val="0"/>
          <w:sz w:val="32"/>
          <w:szCs w:val="32"/>
        </w:rPr>
        <w:t>前    言</w:t>
      </w:r>
    </w:p>
    <w:p>
      <w:pPr>
        <w:pStyle w:val="18"/>
        <w:rPr>
          <w:rFonts w:hAnsi="Times New Roman"/>
        </w:rPr>
      </w:pPr>
      <w:r>
        <w:rPr>
          <w:rFonts w:hint="eastAsia"/>
        </w:rPr>
        <w:t>本文件按照GB/T 1.1-2020《标准化工作导则 第1部分：标准化文件的结构和起草规则》的规定起草。</w:t>
      </w:r>
    </w:p>
    <w:p>
      <w:pPr>
        <w:pStyle w:val="18"/>
      </w:pPr>
      <w:r>
        <w:rPr>
          <w:rFonts w:hint="eastAsia"/>
        </w:rPr>
        <w:t>请注意本文件的某些内容可能涉及专利。本文件的发布机构不承担识别专利的责任。</w:t>
      </w:r>
    </w:p>
    <w:p>
      <w:pPr>
        <w:spacing w:line="360" w:lineRule="auto"/>
        <w:rPr>
          <w:rFonts w:ascii="宋体" w:hAnsi="宋体" w:eastAsia="宋体" w:cs="宋体"/>
          <w:szCs w:val="21"/>
        </w:rPr>
      </w:pPr>
      <w:r>
        <w:rPr>
          <w:rFonts w:ascii="宋体" w:hAnsi="宋体" w:eastAsia="宋体" w:cs="宋体"/>
          <w:szCs w:val="21"/>
        </w:rPr>
        <w:t xml:space="preserve">    </w:t>
      </w:r>
      <w:r>
        <w:rPr>
          <w:rFonts w:hint="eastAsia" w:ascii="宋体" w:hAnsi="宋体" w:eastAsia="宋体" w:cs="宋体"/>
          <w:szCs w:val="21"/>
        </w:rPr>
        <w:t>本</w:t>
      </w:r>
      <w:r>
        <w:rPr>
          <w:rFonts w:hint="eastAsia"/>
        </w:rPr>
        <w:t>文件</w:t>
      </w:r>
      <w:r>
        <w:rPr>
          <w:rFonts w:hint="eastAsia" w:ascii="宋体" w:hAnsi="宋体" w:eastAsia="宋体" w:cs="宋体"/>
          <w:szCs w:val="21"/>
        </w:rPr>
        <w:t>由北京河豚家族科技产业有限公司提出。</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w:t>
      </w:r>
      <w:r>
        <w:rPr>
          <w:rFonts w:hint="eastAsia"/>
        </w:rPr>
        <w:t>文件</w:t>
      </w:r>
      <w:r>
        <w:rPr>
          <w:rFonts w:hint="eastAsia" w:ascii="宋体" w:hAnsi="宋体" w:eastAsia="宋体" w:cs="宋体"/>
          <w:szCs w:val="21"/>
        </w:rPr>
        <w:t>由中国水产流通与加工协会标准化技术委员会归口。</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w:t>
      </w:r>
      <w:r>
        <w:rPr>
          <w:rFonts w:hint="eastAsia"/>
        </w:rPr>
        <w:t>文件</w:t>
      </w:r>
      <w:r>
        <w:rPr>
          <w:rFonts w:hint="eastAsia" w:ascii="宋体" w:hAnsi="宋体" w:eastAsia="宋体" w:cs="宋体"/>
          <w:szCs w:val="21"/>
        </w:rPr>
        <w:t>主要起草单位：北京河豚家族科技产业有限公司、大连富谷食品有限公司、南通龙洋水产有限公司、大连海洋大学、中国水产科学研究院黄海水产研究所、北京京睿农科科技发展有限公司、北京四月河豚商贸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w:t>
      </w:r>
      <w:r>
        <w:rPr>
          <w:rFonts w:hint="eastAsia"/>
        </w:rPr>
        <w:t>文件</w:t>
      </w:r>
      <w:r>
        <w:rPr>
          <w:rFonts w:hint="eastAsia" w:ascii="宋体" w:hAnsi="宋体" w:eastAsia="宋体" w:cs="宋体"/>
          <w:szCs w:val="21"/>
        </w:rPr>
        <w:t>主要起草人：段然、吕伟、焦冬祥、王常玉、姜志强、徐永江、孙振华、杨紫苏、苏鹏、秦巍仑。</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pStyle w:val="2"/>
        <w:rPr>
          <w:rFonts w:ascii="微软雅黑" w:hAnsi="微软雅黑" w:eastAsia="微软雅黑" w:cs="微软雅黑"/>
        </w:rPr>
      </w:pPr>
    </w:p>
    <w:p/>
    <w:p>
      <w:pPr>
        <w:jc w:val="center"/>
        <w:rPr>
          <w:rFonts w:ascii="黑体" w:hAnsi="黑体" w:eastAsia="黑体" w:cs="黑体"/>
          <w:sz w:val="32"/>
          <w:szCs w:val="32"/>
        </w:rPr>
      </w:pPr>
      <w:r>
        <w:rPr>
          <w:rFonts w:hint="eastAsia" w:ascii="黑体" w:hAnsi="黑体" w:eastAsia="黑体" w:cs="黑体"/>
          <w:sz w:val="32"/>
          <w:szCs w:val="32"/>
        </w:rPr>
        <w:t>冰鲜河鲀流通规范</w:t>
      </w:r>
    </w:p>
    <w:p>
      <w:pPr>
        <w:spacing w:line="720" w:lineRule="auto"/>
        <w:rPr>
          <w:rFonts w:ascii="黑体" w:hAnsi="黑体" w:eastAsia="黑体" w:cs="黑体"/>
          <w:szCs w:val="21"/>
        </w:rPr>
      </w:pPr>
      <w:r>
        <w:rPr>
          <w:rFonts w:ascii="黑体" w:hAnsi="黑体" w:eastAsia="黑体" w:cs="黑体"/>
          <w:szCs w:val="21"/>
        </w:rPr>
        <w:t xml:space="preserve">1 </w:t>
      </w:r>
      <w:r>
        <w:rPr>
          <w:rFonts w:hint="eastAsia" w:ascii="黑体" w:hAnsi="黑体" w:eastAsia="黑体" w:cs="黑体"/>
          <w:szCs w:val="21"/>
        </w:rPr>
        <w:t>范围</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w:t>
      </w:r>
      <w:r>
        <w:rPr>
          <w:rFonts w:hint="eastAsia"/>
        </w:rPr>
        <w:t>文件</w:t>
      </w:r>
      <w:r>
        <w:rPr>
          <w:rFonts w:hint="eastAsia" w:ascii="宋体" w:hAnsi="宋体" w:eastAsia="宋体" w:cs="宋体"/>
          <w:szCs w:val="21"/>
        </w:rPr>
        <w:t>规定了冰鲜养殖河鲀流通的基本要求，以</w:t>
      </w:r>
      <w:r>
        <w:rPr>
          <w:rFonts w:ascii="宋体" w:hAnsi="宋体" w:eastAsia="宋体" w:cs="宋体"/>
          <w:szCs w:val="21"/>
        </w:rPr>
        <w:t>及出厂、</w:t>
      </w:r>
      <w:r>
        <w:rPr>
          <w:rFonts w:hint="eastAsia" w:ascii="宋体" w:hAnsi="宋体" w:eastAsia="宋体" w:cs="宋体"/>
          <w:szCs w:val="21"/>
        </w:rPr>
        <w:t>运输与配送、交接、储存与销售各流通环节要求。描述</w:t>
      </w:r>
      <w:r>
        <w:rPr>
          <w:rFonts w:ascii="宋体" w:hAnsi="宋体" w:eastAsia="宋体" w:cs="宋体"/>
          <w:szCs w:val="21"/>
        </w:rPr>
        <w:t>了</w:t>
      </w:r>
      <w:r>
        <w:rPr>
          <w:rFonts w:hint="eastAsia" w:ascii="宋体" w:hAnsi="宋体" w:eastAsia="宋体" w:cs="宋体"/>
          <w:szCs w:val="21"/>
        </w:rPr>
        <w:t>上</w:t>
      </w:r>
      <w:r>
        <w:rPr>
          <w:rFonts w:ascii="宋体" w:hAnsi="宋体" w:eastAsia="宋体" w:cs="宋体"/>
          <w:szCs w:val="21"/>
        </w:rPr>
        <w:t>述各环节记录保持等追溯管理方法。</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w:t>
      </w:r>
      <w:r>
        <w:rPr>
          <w:rFonts w:hint="eastAsia"/>
        </w:rPr>
        <w:t>文件</w:t>
      </w:r>
      <w:r>
        <w:rPr>
          <w:rFonts w:hint="eastAsia" w:ascii="宋体" w:hAnsi="宋体" w:eastAsia="宋体" w:cs="宋体"/>
          <w:szCs w:val="21"/>
        </w:rPr>
        <w:t>适用于冰鲜养殖红鳍东方鲀（</w:t>
      </w:r>
      <w:r>
        <w:rPr>
          <w:rFonts w:ascii="Times New Roman" w:hAnsi="Times New Roman" w:eastAsia="宋体" w:cs="Times New Roman"/>
          <w:i/>
          <w:szCs w:val="21"/>
        </w:rPr>
        <w:t>Takifugu rubripe</w:t>
      </w:r>
      <w:bookmarkStart w:id="0" w:name="_GoBack"/>
      <w:bookmarkEnd w:id="0"/>
      <w:r>
        <w:rPr>
          <w:rFonts w:ascii="Times New Roman" w:hAnsi="Times New Roman" w:eastAsia="宋体" w:cs="Times New Roman"/>
          <w:i/>
          <w:szCs w:val="21"/>
        </w:rPr>
        <w:t>s</w:t>
      </w:r>
      <w:r>
        <w:rPr>
          <w:rFonts w:ascii="宋体" w:hAnsi="宋体" w:eastAsia="宋体" w:cs="宋体"/>
          <w:szCs w:val="21"/>
        </w:rPr>
        <w:t>）</w:t>
      </w:r>
      <w:r>
        <w:rPr>
          <w:rFonts w:hint="eastAsia" w:ascii="宋体" w:hAnsi="宋体" w:eastAsia="宋体" w:cs="宋体"/>
          <w:szCs w:val="21"/>
        </w:rPr>
        <w:t>、暗纹东方鲀（</w:t>
      </w:r>
      <w:r>
        <w:rPr>
          <w:rFonts w:ascii="Times New Roman" w:hAnsi="Times New Roman" w:eastAsia="宋体" w:cs="Times New Roman"/>
          <w:i/>
          <w:szCs w:val="21"/>
        </w:rPr>
        <w:t>Takifugu obscurus</w:t>
      </w:r>
      <w:r>
        <w:rPr>
          <w:rFonts w:hint="eastAsia" w:ascii="宋体" w:hAnsi="宋体" w:eastAsia="宋体" w:cs="宋体"/>
          <w:szCs w:val="21"/>
        </w:rPr>
        <w:t>）的流通管理。</w:t>
      </w:r>
    </w:p>
    <w:p>
      <w:pPr>
        <w:spacing w:line="720" w:lineRule="auto"/>
        <w:rPr>
          <w:rFonts w:ascii="黑体" w:hAnsi="黑体" w:eastAsia="黑体" w:cs="黑体"/>
          <w:szCs w:val="21"/>
        </w:rPr>
      </w:pPr>
      <w:r>
        <w:rPr>
          <w:rFonts w:ascii="黑体" w:hAnsi="黑体" w:eastAsia="黑体" w:cs="黑体"/>
          <w:szCs w:val="21"/>
        </w:rPr>
        <w:t xml:space="preserve">2 </w:t>
      </w:r>
      <w:r>
        <w:rPr>
          <w:rFonts w:hint="eastAsia" w:ascii="黑体" w:hAnsi="黑体" w:eastAsia="黑体" w:cs="黑体"/>
          <w:szCs w:val="21"/>
        </w:rPr>
        <w:t>规范性引用文件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20" w:firstLineChars="200"/>
        <w:rPr>
          <w:rFonts w:ascii="宋体" w:hAnsi="宋体" w:eastAsia="宋体" w:cs="宋体"/>
          <w:szCs w:val="21"/>
        </w:rPr>
      </w:pPr>
      <w:r>
        <w:rPr>
          <w:rFonts w:ascii="宋体" w:hAnsi="宋体" w:eastAsia="宋体" w:cs="宋体"/>
          <w:szCs w:val="21"/>
        </w:rPr>
        <w:t xml:space="preserve">GB 2733 </w:t>
      </w:r>
      <w:r>
        <w:rPr>
          <w:rFonts w:hint="eastAsia" w:ascii="宋体" w:hAnsi="宋体" w:eastAsia="宋体" w:cs="宋体"/>
          <w:szCs w:val="21"/>
        </w:rPr>
        <w:t>食品安全国家标准</w:t>
      </w:r>
      <w:r>
        <w:rPr>
          <w:rFonts w:ascii="宋体" w:hAnsi="宋体" w:eastAsia="宋体" w:cs="宋体"/>
          <w:szCs w:val="21"/>
        </w:rPr>
        <w:t xml:space="preserve"> </w:t>
      </w:r>
      <w:r>
        <w:rPr>
          <w:rFonts w:hint="eastAsia" w:ascii="宋体" w:hAnsi="宋体" w:eastAsia="宋体" w:cs="宋体"/>
          <w:szCs w:val="21"/>
        </w:rPr>
        <w:t>鲜、冻动物性水产品</w:t>
      </w:r>
    </w:p>
    <w:p>
      <w:pPr>
        <w:spacing w:line="360" w:lineRule="auto"/>
        <w:ind w:firstLine="420" w:firstLineChars="200"/>
        <w:rPr>
          <w:rFonts w:ascii="宋体" w:hAnsi="宋体" w:eastAsia="宋体" w:cs="宋体"/>
          <w:szCs w:val="21"/>
        </w:rPr>
      </w:pPr>
      <w:r>
        <w:rPr>
          <w:rFonts w:ascii="宋体" w:hAnsi="宋体" w:eastAsia="宋体" w:cs="宋体"/>
          <w:szCs w:val="21"/>
        </w:rPr>
        <w:t xml:space="preserve">GB 5749 </w:t>
      </w:r>
      <w:r>
        <w:rPr>
          <w:rFonts w:hint="eastAsia" w:ascii="宋体" w:hAnsi="宋体" w:eastAsia="宋体" w:cs="宋体"/>
          <w:szCs w:val="21"/>
        </w:rPr>
        <w:t>生活饮用水卫生标准</w:t>
      </w:r>
    </w:p>
    <w:p>
      <w:pPr>
        <w:spacing w:line="360" w:lineRule="auto"/>
        <w:ind w:firstLine="420" w:firstLineChars="200"/>
        <w:rPr>
          <w:rFonts w:ascii="宋体" w:hAnsi="宋体" w:eastAsia="宋体" w:cs="宋体"/>
          <w:szCs w:val="21"/>
        </w:rPr>
      </w:pPr>
      <w:r>
        <w:rPr>
          <w:rFonts w:ascii="宋体" w:hAnsi="宋体" w:eastAsia="宋体" w:cs="宋体"/>
          <w:szCs w:val="21"/>
        </w:rPr>
        <w:t xml:space="preserve">GB 7718-2011 </w:t>
      </w:r>
      <w:r>
        <w:rPr>
          <w:rFonts w:hint="eastAsia" w:ascii="宋体" w:hAnsi="宋体" w:eastAsia="宋体" w:cs="宋体"/>
          <w:szCs w:val="21"/>
        </w:rPr>
        <w:t>食品安全国家标准</w:t>
      </w:r>
      <w:r>
        <w:rPr>
          <w:rFonts w:ascii="宋体" w:hAnsi="宋体" w:eastAsia="宋体" w:cs="宋体"/>
          <w:szCs w:val="21"/>
        </w:rPr>
        <w:t xml:space="preserve"> </w:t>
      </w:r>
      <w:r>
        <w:rPr>
          <w:rFonts w:hint="eastAsia" w:ascii="宋体" w:hAnsi="宋体" w:eastAsia="宋体" w:cs="宋体"/>
          <w:szCs w:val="21"/>
        </w:rPr>
        <w:t>预包装食品标签通则</w:t>
      </w:r>
    </w:p>
    <w:p>
      <w:pPr>
        <w:spacing w:line="360" w:lineRule="auto"/>
        <w:ind w:firstLine="420" w:firstLineChars="200"/>
        <w:rPr>
          <w:rFonts w:ascii="宋体" w:hAnsi="宋体" w:eastAsia="宋体" w:cs="宋体"/>
          <w:szCs w:val="21"/>
        </w:rPr>
      </w:pPr>
      <w:r>
        <w:rPr>
          <w:rFonts w:ascii="宋体" w:hAnsi="宋体" w:eastAsia="宋体" w:cs="宋体"/>
          <w:szCs w:val="21"/>
        </w:rPr>
        <w:t xml:space="preserve">GB 31605-2020 </w:t>
      </w:r>
      <w:r>
        <w:rPr>
          <w:rFonts w:hint="eastAsia" w:ascii="宋体" w:hAnsi="宋体" w:eastAsia="宋体" w:cs="宋体"/>
          <w:szCs w:val="21"/>
        </w:rPr>
        <w:t>食品安全国家标准</w:t>
      </w:r>
      <w:r>
        <w:rPr>
          <w:rFonts w:ascii="宋体" w:hAnsi="宋体" w:eastAsia="宋体" w:cs="宋体"/>
          <w:szCs w:val="21"/>
        </w:rPr>
        <w:t xml:space="preserve"> </w:t>
      </w:r>
      <w:r>
        <w:rPr>
          <w:rFonts w:hint="eastAsia" w:ascii="宋体" w:hAnsi="宋体" w:eastAsia="宋体" w:cs="宋体"/>
          <w:szCs w:val="21"/>
        </w:rPr>
        <w:t>食品冷链物流卫生规范</w:t>
      </w:r>
    </w:p>
    <w:p>
      <w:pPr>
        <w:spacing w:line="360" w:lineRule="auto"/>
        <w:ind w:firstLine="420" w:firstLineChars="200"/>
        <w:rPr>
          <w:rFonts w:ascii="宋体" w:hAnsi="宋体" w:eastAsia="宋体" w:cs="宋体"/>
          <w:szCs w:val="21"/>
        </w:rPr>
      </w:pPr>
      <w:r>
        <w:rPr>
          <w:rFonts w:ascii="宋体" w:hAnsi="宋体" w:eastAsia="宋体" w:cs="宋体"/>
          <w:szCs w:val="21"/>
        </w:rPr>
        <w:t xml:space="preserve">SC/T 3124-2019 </w:t>
      </w:r>
      <w:r>
        <w:rPr>
          <w:rFonts w:hint="eastAsia" w:ascii="宋体" w:hAnsi="宋体" w:eastAsia="宋体" w:cs="宋体"/>
          <w:szCs w:val="21"/>
        </w:rPr>
        <w:t>鲜、冻养殖河豚鱼</w:t>
      </w:r>
    </w:p>
    <w:p>
      <w:pPr>
        <w:spacing w:line="360" w:lineRule="auto"/>
        <w:ind w:firstLine="420" w:firstLineChars="200"/>
        <w:rPr>
          <w:rFonts w:ascii="宋体" w:hAnsi="宋体" w:eastAsia="宋体" w:cs="宋体"/>
          <w:szCs w:val="21"/>
        </w:rPr>
      </w:pPr>
      <w:r>
        <w:rPr>
          <w:rFonts w:ascii="宋体" w:hAnsi="宋体" w:eastAsia="宋体" w:cs="宋体"/>
          <w:szCs w:val="21"/>
        </w:rPr>
        <w:t xml:space="preserve">T/CAPPMA 01-2019 </w:t>
      </w:r>
      <w:r>
        <w:rPr>
          <w:rFonts w:hint="eastAsia" w:ascii="宋体" w:hAnsi="宋体" w:eastAsia="宋体" w:cs="宋体"/>
          <w:szCs w:val="21"/>
        </w:rPr>
        <w:t>鲜、冻养殖红鳍东方鲀</w:t>
      </w:r>
    </w:p>
    <w:p>
      <w:pPr>
        <w:spacing w:line="360" w:lineRule="auto"/>
        <w:ind w:firstLine="420" w:firstLineChars="200"/>
        <w:rPr>
          <w:rFonts w:ascii="宋体" w:hAnsi="宋体" w:eastAsia="宋体" w:cs="宋体"/>
          <w:szCs w:val="21"/>
        </w:rPr>
      </w:pPr>
      <w:r>
        <w:rPr>
          <w:rFonts w:ascii="宋体" w:hAnsi="宋体" w:eastAsia="宋体" w:cs="宋体"/>
          <w:szCs w:val="21"/>
        </w:rPr>
        <w:t xml:space="preserve">T/CAPPMA 02-2019 </w:t>
      </w:r>
      <w:r>
        <w:rPr>
          <w:rFonts w:hint="eastAsia" w:ascii="宋体" w:hAnsi="宋体" w:eastAsia="宋体" w:cs="宋体"/>
          <w:szCs w:val="21"/>
        </w:rPr>
        <w:t>鲜、冻养殖暗纹东方鲀</w:t>
      </w:r>
    </w:p>
    <w:p>
      <w:pPr>
        <w:spacing w:line="600" w:lineRule="auto"/>
        <w:rPr>
          <w:rFonts w:ascii="黑体" w:hAnsi="黑体" w:eastAsia="黑体" w:cs="黑体"/>
          <w:szCs w:val="21"/>
        </w:rPr>
      </w:pPr>
      <w:r>
        <w:rPr>
          <w:rFonts w:ascii="黑体" w:hAnsi="黑体" w:eastAsia="黑体" w:cs="黑体"/>
          <w:szCs w:val="21"/>
        </w:rPr>
        <w:t xml:space="preserve">3 </w:t>
      </w:r>
      <w:r>
        <w:rPr>
          <w:rFonts w:hint="eastAsia" w:ascii="黑体" w:hAnsi="黑体" w:eastAsia="黑体" w:cs="黑体"/>
          <w:szCs w:val="21"/>
        </w:rPr>
        <w:t>术语</w:t>
      </w:r>
      <w:r>
        <w:rPr>
          <w:rFonts w:ascii="黑体" w:hAnsi="黑体" w:eastAsia="黑体" w:cs="黑体"/>
          <w:szCs w:val="21"/>
        </w:rPr>
        <w:t>和</w:t>
      </w:r>
      <w:r>
        <w:rPr>
          <w:rFonts w:hint="eastAsia" w:ascii="黑体" w:hAnsi="黑体" w:eastAsia="黑体" w:cs="黑体"/>
          <w:szCs w:val="21"/>
        </w:rPr>
        <w:t>定义</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本文件</w:t>
      </w:r>
      <w:r>
        <w:rPr>
          <w:rFonts w:ascii="宋体" w:hAnsi="宋体" w:eastAsia="宋体" w:cs="宋体"/>
          <w:szCs w:val="21"/>
        </w:rPr>
        <w:t>没有需要界定的术语和定义。</w:t>
      </w:r>
    </w:p>
    <w:p>
      <w:pPr>
        <w:spacing w:line="600" w:lineRule="auto"/>
        <w:rPr>
          <w:rFonts w:ascii="黑体" w:hAnsi="黑体" w:eastAsia="黑体" w:cs="黑体"/>
          <w:szCs w:val="21"/>
        </w:rPr>
      </w:pPr>
      <w:r>
        <w:rPr>
          <w:rFonts w:ascii="黑体" w:hAnsi="黑体" w:eastAsia="黑体" w:cs="黑体"/>
          <w:szCs w:val="21"/>
        </w:rPr>
        <w:t>4 基本要求</w:t>
      </w:r>
    </w:p>
    <w:p>
      <w:pPr>
        <w:spacing w:line="360" w:lineRule="auto"/>
        <w:rPr>
          <w:rFonts w:ascii="宋体" w:hAnsi="宋体" w:eastAsia="宋体" w:cs="宋体"/>
          <w:szCs w:val="21"/>
        </w:rPr>
      </w:pPr>
      <w:r>
        <w:rPr>
          <w:rFonts w:hint="eastAsia" w:ascii="宋体" w:hAnsi="宋体" w:eastAsia="宋体" w:cs="宋体"/>
          <w:szCs w:val="21"/>
        </w:rPr>
        <w:t>4.1 原料鱼</w:t>
      </w:r>
      <w:r>
        <w:rPr>
          <w:rFonts w:ascii="宋体" w:hAnsi="宋体" w:eastAsia="宋体" w:cs="宋体"/>
          <w:szCs w:val="21"/>
        </w:rPr>
        <w:t>应来自</w:t>
      </w:r>
      <w:r>
        <w:rPr>
          <w:rFonts w:hint="eastAsia" w:ascii="宋体" w:hAnsi="宋体" w:eastAsia="宋体" w:cs="宋体"/>
          <w:szCs w:val="21"/>
        </w:rPr>
        <w:t>农业农村部备案的河鲀渔源基地</w:t>
      </w:r>
      <w:r>
        <w:rPr>
          <w:rFonts w:ascii="宋体" w:hAnsi="宋体" w:eastAsia="宋体" w:cs="宋体"/>
          <w:szCs w:val="21"/>
        </w:rPr>
        <w:t>，</w:t>
      </w:r>
      <w:r>
        <w:rPr>
          <w:rFonts w:hint="eastAsia" w:ascii="宋体" w:hAnsi="宋体" w:eastAsia="宋体" w:cs="宋体"/>
          <w:szCs w:val="21"/>
        </w:rPr>
        <w:t>品质</w:t>
      </w:r>
      <w:r>
        <w:rPr>
          <w:rFonts w:ascii="宋体" w:hAnsi="宋体" w:eastAsia="宋体" w:cs="宋体"/>
          <w:szCs w:val="21"/>
        </w:rPr>
        <w:t>应符合</w:t>
      </w:r>
      <w:r>
        <w:rPr>
          <w:rFonts w:hint="eastAsia" w:ascii="宋体" w:hAnsi="宋体" w:eastAsia="宋体" w:cs="宋体"/>
          <w:szCs w:val="21"/>
        </w:rPr>
        <w:t>GB 2733要求</w:t>
      </w:r>
      <w:r>
        <w:rPr>
          <w:rFonts w:ascii="宋体" w:hAnsi="宋体" w:eastAsia="宋体" w:cs="宋体"/>
          <w:szCs w:val="21"/>
        </w:rPr>
        <w:t>。</w:t>
      </w:r>
    </w:p>
    <w:p>
      <w:pPr>
        <w:spacing w:line="360" w:lineRule="auto"/>
        <w:rPr>
          <w:rFonts w:ascii="宋体" w:hAnsi="宋体" w:eastAsia="宋体" w:cs="宋体"/>
          <w:szCs w:val="21"/>
        </w:rPr>
      </w:pPr>
      <w:r>
        <w:rPr>
          <w:rFonts w:ascii="宋体" w:hAnsi="宋体" w:eastAsia="宋体" w:cs="宋体"/>
          <w:szCs w:val="21"/>
        </w:rPr>
        <w:t xml:space="preserve">4.2 </w:t>
      </w:r>
      <w:r>
        <w:rPr>
          <w:rFonts w:hint="eastAsia" w:ascii="宋体" w:hAnsi="宋体" w:eastAsia="宋体" w:cs="宋体"/>
          <w:szCs w:val="21"/>
        </w:rPr>
        <w:t>冰鲜</w:t>
      </w:r>
      <w:r>
        <w:rPr>
          <w:rFonts w:ascii="宋体" w:hAnsi="宋体" w:eastAsia="宋体" w:cs="宋体"/>
          <w:szCs w:val="21"/>
        </w:rPr>
        <w:t>河</w:t>
      </w:r>
      <w:r>
        <w:rPr>
          <w:rFonts w:hint="eastAsia" w:ascii="宋体" w:hAnsi="宋体" w:eastAsia="宋体" w:cs="宋体"/>
          <w:szCs w:val="21"/>
        </w:rPr>
        <w:t>鲀应</w:t>
      </w:r>
      <w:r>
        <w:rPr>
          <w:rFonts w:ascii="宋体" w:hAnsi="宋体" w:eastAsia="宋体" w:cs="宋体"/>
          <w:szCs w:val="21"/>
        </w:rPr>
        <w:t>由</w:t>
      </w:r>
      <w:r>
        <w:rPr>
          <w:rFonts w:hint="eastAsia" w:ascii="宋体" w:hAnsi="宋体" w:eastAsia="宋体" w:cs="宋体"/>
          <w:szCs w:val="21"/>
        </w:rPr>
        <w:t>农业农村部备案的养殖河鲀加工企业</w:t>
      </w:r>
      <w:r>
        <w:rPr>
          <w:rFonts w:ascii="宋体" w:hAnsi="宋体" w:eastAsia="宋体" w:cs="宋体"/>
          <w:szCs w:val="21"/>
        </w:rPr>
        <w:t>加工</w:t>
      </w:r>
      <w:r>
        <w:rPr>
          <w:rFonts w:hint="eastAsia" w:ascii="宋体" w:hAnsi="宋体" w:eastAsia="宋体" w:cs="宋体"/>
          <w:szCs w:val="21"/>
        </w:rPr>
        <w:t>。冰鲜养殖红鳍东方鲀质量</w:t>
      </w:r>
      <w:r>
        <w:rPr>
          <w:rFonts w:ascii="宋体" w:hAnsi="宋体" w:eastAsia="宋体" w:cs="宋体"/>
          <w:szCs w:val="21"/>
        </w:rPr>
        <w:t>应符合T/CAPPMA 01-2019</w:t>
      </w:r>
      <w:r>
        <w:rPr>
          <w:rFonts w:hint="eastAsia" w:ascii="宋体" w:hAnsi="宋体" w:eastAsia="宋体" w:cs="宋体"/>
          <w:szCs w:val="21"/>
        </w:rPr>
        <w:t>要</w:t>
      </w:r>
      <w:r>
        <w:rPr>
          <w:rFonts w:ascii="宋体" w:hAnsi="宋体" w:eastAsia="宋体" w:cs="宋体"/>
          <w:szCs w:val="21"/>
        </w:rPr>
        <w:t>求，</w:t>
      </w:r>
      <w:r>
        <w:rPr>
          <w:rFonts w:hint="eastAsia" w:ascii="宋体" w:hAnsi="宋体" w:eastAsia="宋体" w:cs="宋体"/>
          <w:szCs w:val="21"/>
        </w:rPr>
        <w:t>冰鲜养殖暗纹东方鲀质量应符合</w:t>
      </w:r>
      <w:r>
        <w:rPr>
          <w:rFonts w:ascii="宋体" w:hAnsi="宋体" w:eastAsia="宋体" w:cs="宋体"/>
          <w:szCs w:val="21"/>
        </w:rPr>
        <w:t>T/CAPPMA 02-2019</w:t>
      </w:r>
      <w:r>
        <w:rPr>
          <w:rFonts w:hint="eastAsia" w:ascii="宋体" w:hAnsi="宋体" w:eastAsia="宋体" w:cs="宋体"/>
          <w:szCs w:val="21"/>
        </w:rPr>
        <w:t>要求。</w:t>
      </w:r>
    </w:p>
    <w:p>
      <w:pPr>
        <w:spacing w:line="360" w:lineRule="auto"/>
        <w:rPr>
          <w:rFonts w:ascii="宋体" w:hAnsi="宋体" w:eastAsia="宋体" w:cs="宋体"/>
          <w:szCs w:val="21"/>
        </w:rPr>
      </w:pPr>
      <w:r>
        <w:rPr>
          <w:rFonts w:hint="eastAsia" w:ascii="宋体" w:hAnsi="宋体" w:eastAsia="宋体" w:cs="宋体"/>
          <w:szCs w:val="21"/>
        </w:rPr>
        <w:t>4.3应采取</w:t>
      </w:r>
      <w:r>
        <w:rPr>
          <w:rFonts w:ascii="宋体" w:hAnsi="宋体" w:eastAsia="宋体" w:cs="宋体"/>
          <w:szCs w:val="21"/>
        </w:rPr>
        <w:t>适宜的降温、</w:t>
      </w:r>
      <w:r>
        <w:rPr>
          <w:rFonts w:hint="eastAsia" w:ascii="宋体" w:hAnsi="宋体" w:eastAsia="宋体" w:cs="宋体"/>
          <w:szCs w:val="21"/>
        </w:rPr>
        <w:t>保</w:t>
      </w:r>
      <w:r>
        <w:rPr>
          <w:rFonts w:ascii="宋体" w:hAnsi="宋体" w:eastAsia="宋体" w:cs="宋体"/>
          <w:szCs w:val="21"/>
        </w:rPr>
        <w:t>温措施，确保</w:t>
      </w:r>
      <w:r>
        <w:rPr>
          <w:rFonts w:hint="eastAsia" w:ascii="宋体" w:hAnsi="宋体" w:eastAsia="宋体" w:cs="宋体"/>
          <w:szCs w:val="21"/>
        </w:rPr>
        <w:t>冷</w:t>
      </w:r>
      <w:r>
        <w:rPr>
          <w:rFonts w:ascii="宋体" w:hAnsi="宋体" w:eastAsia="宋体" w:cs="宋体"/>
          <w:szCs w:val="21"/>
        </w:rPr>
        <w:t>链流通。</w:t>
      </w:r>
      <w:r>
        <w:rPr>
          <w:rFonts w:hint="eastAsia" w:ascii="宋体" w:hAnsi="宋体" w:eastAsia="宋体" w:cs="宋体"/>
          <w:szCs w:val="21"/>
        </w:rPr>
        <w:t>整个</w:t>
      </w:r>
      <w:r>
        <w:rPr>
          <w:rFonts w:ascii="宋体" w:hAnsi="宋体" w:eastAsia="宋体" w:cs="宋体"/>
          <w:szCs w:val="21"/>
        </w:rPr>
        <w:t>流通过程中，产品中心温度波动应控制在</w:t>
      </w:r>
      <w:r>
        <w:rPr>
          <w:rFonts w:hint="eastAsia" w:ascii="华文宋体" w:hAnsi="华文宋体" w:eastAsia="华文宋体" w:cs="宋体"/>
          <w:color w:val="auto"/>
          <w:szCs w:val="21"/>
        </w:rPr>
        <w:t>±</w:t>
      </w:r>
      <w:r>
        <w:rPr>
          <w:rFonts w:ascii="宋体" w:hAnsi="宋体" w:eastAsia="宋体" w:cs="宋体"/>
          <w:color w:val="auto"/>
          <w:szCs w:val="21"/>
        </w:rPr>
        <w:t>2</w:t>
      </w:r>
      <w:r>
        <w:rPr>
          <w:rFonts w:hint="eastAsia" w:ascii="华文宋体" w:hAnsi="华文宋体" w:eastAsia="华文宋体" w:cs="宋体"/>
          <w:color w:val="auto"/>
          <w:szCs w:val="21"/>
        </w:rPr>
        <w:t>℃</w:t>
      </w:r>
      <w:r>
        <w:rPr>
          <w:rFonts w:hint="eastAsia" w:ascii="宋体" w:hAnsi="宋体" w:eastAsia="宋体" w:cs="宋体"/>
          <w:szCs w:val="21"/>
        </w:rPr>
        <w:t>。</w:t>
      </w:r>
    </w:p>
    <w:p>
      <w:pPr>
        <w:spacing w:line="360" w:lineRule="auto"/>
        <w:rPr>
          <w:rFonts w:ascii="宋体" w:hAnsi="宋体" w:eastAsia="宋体" w:cs="宋体"/>
          <w:szCs w:val="21"/>
        </w:rPr>
      </w:pPr>
      <w:r>
        <w:rPr>
          <w:rFonts w:ascii="宋体" w:hAnsi="宋体" w:eastAsia="宋体" w:cs="宋体"/>
          <w:szCs w:val="21"/>
        </w:rPr>
        <w:t xml:space="preserve">4.4 </w:t>
      </w:r>
      <w:r>
        <w:rPr>
          <w:rFonts w:hint="eastAsia" w:ascii="宋体" w:hAnsi="宋体" w:eastAsia="宋体" w:cs="宋体"/>
          <w:szCs w:val="21"/>
        </w:rPr>
        <w:t>冰鲜河鲀流通过程</w:t>
      </w:r>
      <w:r>
        <w:rPr>
          <w:rFonts w:ascii="宋体" w:hAnsi="宋体" w:eastAsia="宋体" w:cs="宋体"/>
          <w:szCs w:val="21"/>
        </w:rPr>
        <w:t>中</w:t>
      </w:r>
      <w:r>
        <w:rPr>
          <w:rFonts w:hint="eastAsia" w:ascii="宋体" w:hAnsi="宋体" w:eastAsia="宋体" w:cs="宋体"/>
          <w:szCs w:val="21"/>
        </w:rPr>
        <w:t>，</w:t>
      </w:r>
      <w:r>
        <w:rPr>
          <w:rFonts w:ascii="宋体" w:hAnsi="宋体" w:eastAsia="宋体" w:cs="宋体"/>
          <w:szCs w:val="21"/>
        </w:rPr>
        <w:t>各环节卫生管理应符合GB 31605</w:t>
      </w:r>
      <w:r>
        <w:rPr>
          <w:rFonts w:hint="eastAsia" w:ascii="宋体" w:hAnsi="宋体" w:eastAsia="宋体" w:cs="宋体"/>
          <w:szCs w:val="21"/>
        </w:rPr>
        <w:t>相关</w:t>
      </w:r>
      <w:r>
        <w:rPr>
          <w:rFonts w:ascii="宋体" w:hAnsi="宋体" w:eastAsia="宋体" w:cs="宋体"/>
          <w:szCs w:val="21"/>
        </w:rPr>
        <w:t>规定。</w:t>
      </w:r>
    </w:p>
    <w:p>
      <w:pPr>
        <w:spacing w:line="720" w:lineRule="auto"/>
        <w:rPr>
          <w:rFonts w:ascii="黑体" w:hAnsi="黑体" w:eastAsia="黑体" w:cs="黑体"/>
          <w:szCs w:val="21"/>
        </w:rPr>
      </w:pPr>
      <w:r>
        <w:rPr>
          <w:rFonts w:ascii="黑体" w:hAnsi="黑体" w:eastAsia="黑体" w:cs="黑体"/>
          <w:szCs w:val="21"/>
        </w:rPr>
        <w:t xml:space="preserve">5 </w:t>
      </w:r>
      <w:r>
        <w:rPr>
          <w:rFonts w:hint="eastAsia" w:ascii="黑体" w:hAnsi="黑体" w:eastAsia="黑体" w:cs="黑体"/>
          <w:szCs w:val="21"/>
        </w:rPr>
        <w:t>出</w:t>
      </w:r>
      <w:r>
        <w:rPr>
          <w:rFonts w:ascii="黑体" w:hAnsi="黑体" w:eastAsia="黑体" w:cs="黑体"/>
          <w:szCs w:val="21"/>
        </w:rPr>
        <w:t>厂</w:t>
      </w:r>
      <w:r>
        <w:rPr>
          <w:rFonts w:hint="eastAsia" w:ascii="黑体" w:hAnsi="黑体" w:eastAsia="黑体" w:cs="黑体"/>
          <w:szCs w:val="21"/>
        </w:rPr>
        <w:t>要</w:t>
      </w:r>
      <w:r>
        <w:rPr>
          <w:rFonts w:ascii="黑体" w:hAnsi="黑体" w:eastAsia="黑体" w:cs="黑体"/>
          <w:szCs w:val="21"/>
        </w:rPr>
        <w:t>求</w:t>
      </w:r>
    </w:p>
    <w:p>
      <w:pPr>
        <w:spacing w:line="360" w:lineRule="auto"/>
        <w:rPr>
          <w:rFonts w:ascii="宋体" w:hAnsi="宋体" w:eastAsia="宋体" w:cs="宋体"/>
          <w:szCs w:val="21"/>
        </w:rPr>
      </w:pPr>
      <w:r>
        <w:rPr>
          <w:rFonts w:ascii="宋体" w:hAnsi="宋体" w:eastAsia="宋体" w:cs="宋体"/>
          <w:szCs w:val="21"/>
        </w:rPr>
        <w:t xml:space="preserve">5.1 </w:t>
      </w:r>
      <w:r>
        <w:rPr>
          <w:rFonts w:hint="eastAsia" w:ascii="宋体" w:hAnsi="宋体" w:eastAsia="宋体" w:cs="宋体"/>
          <w:szCs w:val="21"/>
        </w:rPr>
        <w:t>按</w:t>
      </w:r>
      <w:r>
        <w:rPr>
          <w:rFonts w:ascii="宋体" w:hAnsi="宋体" w:eastAsia="宋体" w:cs="宋体"/>
          <w:szCs w:val="21"/>
        </w:rPr>
        <w:t>SC/T 3124</w:t>
      </w:r>
      <w:r>
        <w:rPr>
          <w:rFonts w:hint="eastAsia" w:ascii="宋体" w:hAnsi="宋体" w:eastAsia="宋体" w:cs="宋体"/>
          <w:szCs w:val="21"/>
        </w:rPr>
        <w:t>对鲜品的</w:t>
      </w:r>
      <w:r>
        <w:rPr>
          <w:rFonts w:ascii="宋体" w:hAnsi="宋体" w:eastAsia="宋体" w:cs="宋体"/>
          <w:szCs w:val="21"/>
        </w:rPr>
        <w:t>要求进行出厂检验，</w:t>
      </w:r>
      <w:r>
        <w:rPr>
          <w:rFonts w:hint="eastAsia" w:ascii="宋体" w:hAnsi="宋体" w:eastAsia="宋体" w:cs="宋体"/>
          <w:szCs w:val="21"/>
        </w:rPr>
        <w:t>对</w:t>
      </w:r>
      <w:r>
        <w:rPr>
          <w:rFonts w:ascii="宋体" w:hAnsi="宋体" w:eastAsia="宋体" w:cs="宋体"/>
          <w:szCs w:val="21"/>
        </w:rPr>
        <w:t>检验合格</w:t>
      </w:r>
      <w:r>
        <w:rPr>
          <w:rFonts w:hint="eastAsia" w:ascii="宋体" w:hAnsi="宋体" w:eastAsia="宋体" w:cs="宋体"/>
          <w:szCs w:val="21"/>
        </w:rPr>
        <w:t>产</w:t>
      </w:r>
      <w:r>
        <w:rPr>
          <w:rFonts w:ascii="宋体" w:hAnsi="宋体" w:eastAsia="宋体" w:cs="宋体"/>
          <w:szCs w:val="21"/>
        </w:rPr>
        <w:t>品进行</w:t>
      </w:r>
      <w:r>
        <w:rPr>
          <w:rFonts w:hint="eastAsia" w:ascii="宋体" w:hAnsi="宋体" w:eastAsia="宋体" w:cs="宋体"/>
          <w:szCs w:val="21"/>
        </w:rPr>
        <w:t>真空包装和</w:t>
      </w:r>
      <w:r>
        <w:rPr>
          <w:rFonts w:ascii="宋体" w:hAnsi="宋体" w:eastAsia="宋体" w:cs="宋体"/>
          <w:szCs w:val="21"/>
        </w:rPr>
        <w:t>标</w:t>
      </w:r>
      <w:r>
        <w:rPr>
          <w:rFonts w:hint="eastAsia" w:ascii="宋体" w:hAnsi="宋体" w:eastAsia="宋体" w:cs="宋体"/>
          <w:szCs w:val="21"/>
        </w:rPr>
        <w:t>签、</w:t>
      </w:r>
      <w:r>
        <w:rPr>
          <w:rFonts w:ascii="宋体" w:hAnsi="宋体" w:eastAsia="宋体" w:cs="宋体"/>
          <w:szCs w:val="21"/>
        </w:rPr>
        <w:t>标识</w:t>
      </w:r>
      <w:r>
        <w:rPr>
          <w:rFonts w:hint="eastAsia" w:ascii="宋体" w:hAnsi="宋体" w:eastAsia="宋体" w:cs="宋体"/>
          <w:szCs w:val="21"/>
        </w:rPr>
        <w:t>。包装和标签、标识应</w:t>
      </w:r>
      <w:r>
        <w:rPr>
          <w:rFonts w:ascii="宋体" w:hAnsi="宋体" w:eastAsia="宋体" w:cs="宋体"/>
          <w:szCs w:val="21"/>
        </w:rPr>
        <w:t>符合SC/T 3124-2019</w:t>
      </w:r>
      <w:r>
        <w:rPr>
          <w:rFonts w:hint="eastAsia" w:ascii="宋体" w:hAnsi="宋体" w:eastAsia="宋体" w:cs="宋体"/>
          <w:szCs w:val="21"/>
        </w:rPr>
        <w:t>第</w:t>
      </w:r>
      <w:r>
        <w:rPr>
          <w:rFonts w:ascii="宋体" w:hAnsi="宋体" w:eastAsia="宋体" w:cs="宋体"/>
          <w:szCs w:val="21"/>
        </w:rPr>
        <w:t>6章的相关规定。</w:t>
      </w:r>
    </w:p>
    <w:p>
      <w:pPr>
        <w:spacing w:line="360" w:lineRule="auto"/>
        <w:rPr>
          <w:rFonts w:ascii="宋体" w:hAnsi="宋体" w:eastAsia="宋体" w:cs="宋体"/>
          <w:szCs w:val="21"/>
        </w:rPr>
      </w:pPr>
      <w:r>
        <w:rPr>
          <w:rFonts w:ascii="宋体" w:hAnsi="宋体" w:eastAsia="宋体" w:cs="宋体"/>
          <w:szCs w:val="21"/>
        </w:rPr>
        <w:t xml:space="preserve">5.2 </w:t>
      </w:r>
      <w:r>
        <w:rPr>
          <w:rFonts w:hint="eastAsia" w:ascii="宋体" w:hAnsi="宋体" w:eastAsia="宋体" w:cs="宋体"/>
          <w:szCs w:val="21"/>
        </w:rPr>
        <w:t>对真空包装后的产品应</w:t>
      </w:r>
      <w:r>
        <w:rPr>
          <w:rFonts w:ascii="宋体" w:hAnsi="宋体" w:eastAsia="宋体" w:cs="宋体"/>
          <w:szCs w:val="21"/>
        </w:rPr>
        <w:t>进行</w:t>
      </w:r>
      <w:r>
        <w:rPr>
          <w:rFonts w:hint="eastAsia" w:ascii="宋体" w:hAnsi="宋体" w:eastAsia="宋体" w:cs="宋体"/>
          <w:szCs w:val="21"/>
        </w:rPr>
        <w:t>降温处理，产品中心温度应降到0℃左右。</w:t>
      </w:r>
    </w:p>
    <w:p>
      <w:pPr>
        <w:spacing w:line="360" w:lineRule="auto"/>
        <w:rPr>
          <w:rFonts w:ascii="宋体" w:hAnsi="宋体" w:eastAsia="宋体" w:cs="宋体"/>
          <w:szCs w:val="21"/>
        </w:rPr>
      </w:pPr>
      <w:r>
        <w:rPr>
          <w:rFonts w:ascii="宋体" w:hAnsi="宋体" w:eastAsia="宋体" w:cs="宋体"/>
          <w:szCs w:val="21"/>
        </w:rPr>
        <w:t xml:space="preserve">5.3 </w:t>
      </w:r>
      <w:r>
        <w:rPr>
          <w:rFonts w:hint="eastAsia" w:ascii="宋体" w:hAnsi="宋体" w:eastAsia="宋体" w:cs="宋体"/>
          <w:szCs w:val="21"/>
        </w:rPr>
        <w:t>核验</w:t>
      </w:r>
      <w:r>
        <w:rPr>
          <w:rFonts w:ascii="宋体" w:hAnsi="宋体" w:eastAsia="宋体" w:cs="宋体"/>
          <w:szCs w:val="21"/>
        </w:rPr>
        <w:t>订单，根据</w:t>
      </w:r>
      <w:r>
        <w:rPr>
          <w:rFonts w:hint="eastAsia" w:ascii="宋体" w:hAnsi="宋体" w:eastAsia="宋体" w:cs="宋体"/>
          <w:szCs w:val="21"/>
        </w:rPr>
        <w:t>订单</w:t>
      </w:r>
      <w:r>
        <w:rPr>
          <w:rFonts w:ascii="宋体" w:hAnsi="宋体" w:eastAsia="宋体" w:cs="宋体"/>
          <w:szCs w:val="21"/>
        </w:rPr>
        <w:t>产品</w:t>
      </w:r>
      <w:r>
        <w:rPr>
          <w:rFonts w:hint="eastAsia" w:ascii="宋体" w:hAnsi="宋体" w:eastAsia="宋体" w:cs="宋体"/>
          <w:szCs w:val="21"/>
        </w:rPr>
        <w:t>数量和</w:t>
      </w:r>
      <w:r>
        <w:rPr>
          <w:rFonts w:ascii="宋体" w:hAnsi="宋体" w:eastAsia="宋体" w:cs="宋体"/>
          <w:szCs w:val="21"/>
        </w:rPr>
        <w:t>运输时间选择适宜的</w:t>
      </w:r>
      <w:r>
        <w:rPr>
          <w:rFonts w:hint="eastAsia" w:ascii="宋体" w:hAnsi="宋体" w:eastAsia="宋体" w:cs="宋体"/>
          <w:color w:val="auto"/>
          <w:szCs w:val="21"/>
        </w:rPr>
        <w:t>外</w:t>
      </w:r>
      <w:r>
        <w:rPr>
          <w:rFonts w:ascii="宋体" w:hAnsi="宋体" w:eastAsia="宋体" w:cs="宋体"/>
          <w:color w:val="auto"/>
          <w:szCs w:val="21"/>
        </w:rPr>
        <w:t>包装和运输方式</w:t>
      </w:r>
      <w:r>
        <w:rPr>
          <w:rFonts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 xml:space="preserve">.4 </w:t>
      </w:r>
      <w:r>
        <w:rPr>
          <w:rFonts w:hint="eastAsia" w:ascii="宋体" w:hAnsi="宋体" w:eastAsia="宋体" w:cs="宋体"/>
          <w:szCs w:val="21"/>
        </w:rPr>
        <w:t>采取加</w:t>
      </w:r>
      <w:r>
        <w:rPr>
          <w:rFonts w:ascii="宋体" w:hAnsi="宋体" w:eastAsia="宋体" w:cs="宋体"/>
          <w:szCs w:val="21"/>
        </w:rPr>
        <w:t>冰保鲜运输</w:t>
      </w:r>
      <w:r>
        <w:rPr>
          <w:rFonts w:hint="eastAsia" w:ascii="宋体" w:hAnsi="宋体" w:eastAsia="宋体" w:cs="宋体"/>
          <w:szCs w:val="21"/>
        </w:rPr>
        <w:t>时</w:t>
      </w:r>
      <w:r>
        <w:rPr>
          <w:rFonts w:ascii="宋体" w:hAnsi="宋体" w:eastAsia="宋体" w:cs="宋体"/>
          <w:szCs w:val="21"/>
        </w:rPr>
        <w:t>，装箱</w:t>
      </w:r>
      <w:r>
        <w:rPr>
          <w:rFonts w:hint="eastAsia" w:ascii="宋体" w:hAnsi="宋体" w:eastAsia="宋体" w:cs="宋体"/>
          <w:szCs w:val="21"/>
        </w:rPr>
        <w:t>时</w:t>
      </w:r>
      <w:r>
        <w:rPr>
          <w:rFonts w:ascii="宋体" w:hAnsi="宋体" w:eastAsia="宋体" w:cs="宋体"/>
          <w:szCs w:val="21"/>
        </w:rPr>
        <w:t>应层鱼层冰，</w:t>
      </w:r>
      <w:r>
        <w:rPr>
          <w:rFonts w:hint="eastAsia" w:ascii="宋体" w:hAnsi="宋体" w:eastAsia="宋体" w:cs="宋体"/>
          <w:szCs w:val="21"/>
        </w:rPr>
        <w:t>最</w:t>
      </w:r>
      <w:r>
        <w:rPr>
          <w:rFonts w:ascii="宋体" w:hAnsi="宋体" w:eastAsia="宋体" w:cs="宋体"/>
          <w:szCs w:val="21"/>
        </w:rPr>
        <w:t>上层鱼应</w:t>
      </w:r>
      <w:r>
        <w:rPr>
          <w:rFonts w:hint="eastAsia" w:ascii="宋体" w:hAnsi="宋体" w:eastAsia="宋体" w:cs="宋体"/>
          <w:szCs w:val="21"/>
        </w:rPr>
        <w:t>完全</w:t>
      </w:r>
      <w:r>
        <w:rPr>
          <w:rFonts w:ascii="宋体" w:hAnsi="宋体" w:eastAsia="宋体" w:cs="宋体"/>
          <w:szCs w:val="21"/>
        </w:rPr>
        <w:t>被冰层</w:t>
      </w:r>
      <w:r>
        <w:rPr>
          <w:rFonts w:hint="eastAsia" w:ascii="宋体" w:hAnsi="宋体" w:eastAsia="宋体" w:cs="宋体"/>
          <w:szCs w:val="21"/>
        </w:rPr>
        <w:t>覆盖</w:t>
      </w:r>
      <w:r>
        <w:rPr>
          <w:rFonts w:ascii="宋体" w:hAnsi="宋体" w:eastAsia="宋体" w:cs="宋体"/>
          <w:szCs w:val="21"/>
        </w:rPr>
        <w:t>。应根据产品</w:t>
      </w:r>
      <w:r>
        <w:rPr>
          <w:rFonts w:hint="eastAsia" w:ascii="宋体" w:hAnsi="宋体" w:eastAsia="宋体" w:cs="宋体"/>
          <w:szCs w:val="21"/>
        </w:rPr>
        <w:t>数量</w:t>
      </w:r>
      <w:r>
        <w:rPr>
          <w:rFonts w:ascii="宋体" w:hAnsi="宋体" w:eastAsia="宋体" w:cs="宋体"/>
          <w:szCs w:val="21"/>
        </w:rPr>
        <w:t>和运输时间长</w:t>
      </w:r>
      <w:r>
        <w:rPr>
          <w:rFonts w:hint="eastAsia" w:ascii="宋体" w:hAnsi="宋体" w:eastAsia="宋体" w:cs="宋体"/>
          <w:szCs w:val="21"/>
        </w:rPr>
        <w:t>短</w:t>
      </w:r>
      <w:r>
        <w:rPr>
          <w:rFonts w:ascii="宋体" w:hAnsi="宋体" w:eastAsia="宋体" w:cs="宋体"/>
          <w:szCs w:val="21"/>
        </w:rPr>
        <w:t>综合考虑加冰</w:t>
      </w:r>
      <w:r>
        <w:rPr>
          <w:rFonts w:hint="eastAsia" w:ascii="宋体" w:hAnsi="宋体" w:eastAsia="宋体" w:cs="宋体"/>
          <w:szCs w:val="21"/>
        </w:rPr>
        <w:t>量，</w:t>
      </w:r>
      <w:r>
        <w:rPr>
          <w:rFonts w:ascii="宋体" w:hAnsi="宋体" w:eastAsia="宋体" w:cs="宋体"/>
          <w:szCs w:val="21"/>
        </w:rPr>
        <w:t>防止运输过程中脱冰。</w:t>
      </w:r>
      <w:r>
        <w:rPr>
          <w:rFonts w:hint="eastAsia" w:ascii="宋体" w:hAnsi="宋体" w:eastAsia="宋体" w:cs="宋体"/>
          <w:szCs w:val="21"/>
        </w:rPr>
        <w:t>制冰用水应符合</w:t>
      </w:r>
      <w:r>
        <w:rPr>
          <w:rFonts w:ascii="宋体" w:hAnsi="宋体" w:eastAsia="宋体" w:cs="宋体"/>
          <w:szCs w:val="21"/>
        </w:rPr>
        <w:t>GB 5749的规定</w:t>
      </w:r>
      <w:r>
        <w:rPr>
          <w:rFonts w:hint="eastAsia" w:ascii="宋体" w:hAnsi="宋体" w:eastAsia="宋体" w:cs="宋体"/>
          <w:szCs w:val="21"/>
        </w:rPr>
        <w:t>。</w:t>
      </w:r>
    </w:p>
    <w:p>
      <w:pPr>
        <w:spacing w:line="360" w:lineRule="auto"/>
        <w:rPr>
          <w:rFonts w:ascii="宋体" w:hAnsi="宋体" w:eastAsia="宋体" w:cs="宋体"/>
          <w:szCs w:val="21"/>
        </w:rPr>
      </w:pPr>
      <w:r>
        <w:rPr>
          <w:rFonts w:ascii="宋体" w:hAnsi="宋体" w:eastAsia="宋体" w:cs="宋体"/>
          <w:szCs w:val="21"/>
        </w:rPr>
        <w:t xml:space="preserve">5.5 </w:t>
      </w:r>
      <w:r>
        <w:rPr>
          <w:rFonts w:hint="eastAsia" w:ascii="宋体" w:hAnsi="宋体" w:eastAsia="宋体" w:cs="宋体"/>
          <w:szCs w:val="21"/>
        </w:rPr>
        <w:t>采取</w:t>
      </w:r>
      <w:r>
        <w:rPr>
          <w:rFonts w:ascii="宋体" w:hAnsi="宋体" w:eastAsia="宋体" w:cs="宋体"/>
          <w:szCs w:val="21"/>
        </w:rPr>
        <w:t>冷藏设备运输时，</w:t>
      </w:r>
      <w:r>
        <w:rPr>
          <w:rFonts w:hint="eastAsia" w:ascii="宋体" w:hAnsi="宋体" w:eastAsia="宋体" w:cs="宋体"/>
          <w:szCs w:val="21"/>
        </w:rPr>
        <w:t>装货</w:t>
      </w:r>
      <w:r>
        <w:rPr>
          <w:rFonts w:ascii="宋体" w:hAnsi="宋体" w:eastAsia="宋体" w:cs="宋体"/>
          <w:szCs w:val="21"/>
        </w:rPr>
        <w:t>前应提前</w:t>
      </w:r>
      <w:r>
        <w:rPr>
          <w:rFonts w:hint="eastAsia" w:ascii="宋体" w:hAnsi="宋体" w:eastAsia="宋体" w:cs="宋体"/>
          <w:szCs w:val="21"/>
        </w:rPr>
        <w:t>将箱体温度</w:t>
      </w:r>
      <w:r>
        <w:rPr>
          <w:rFonts w:ascii="宋体" w:hAnsi="宋体" w:eastAsia="宋体" w:cs="宋体"/>
          <w:szCs w:val="21"/>
        </w:rPr>
        <w:t>预冷</w:t>
      </w:r>
      <w:r>
        <w:rPr>
          <w:rFonts w:hint="eastAsia" w:ascii="宋体" w:hAnsi="宋体" w:eastAsia="宋体" w:cs="宋体"/>
          <w:szCs w:val="21"/>
        </w:rPr>
        <w:t>至</w:t>
      </w:r>
      <w:r>
        <w:rPr>
          <w:rFonts w:ascii="宋体" w:hAnsi="宋体" w:eastAsia="宋体" w:cs="宋体"/>
          <w:szCs w:val="21"/>
        </w:rPr>
        <w:t>0℃</w:t>
      </w:r>
      <w:r>
        <w:rPr>
          <w:rFonts w:hint="eastAsia" w:ascii="宋体" w:hAnsi="宋体" w:eastAsia="宋体" w:cs="宋体"/>
          <w:szCs w:val="21"/>
        </w:rPr>
        <w:t>～</w:t>
      </w:r>
      <w:r>
        <w:rPr>
          <w:rFonts w:ascii="宋体" w:hAnsi="宋体" w:eastAsia="宋体" w:cs="宋体"/>
          <w:szCs w:val="21"/>
        </w:rPr>
        <w:t>4</w:t>
      </w:r>
      <w:r>
        <w:rPr>
          <w:rFonts w:hint="eastAsia" w:ascii="宋体" w:hAnsi="宋体" w:eastAsia="宋体" w:cs="宋体"/>
          <w:szCs w:val="21"/>
        </w:rPr>
        <w:t>℃。</w:t>
      </w:r>
    </w:p>
    <w:p>
      <w:pPr>
        <w:spacing w:line="720" w:lineRule="auto"/>
        <w:rPr>
          <w:rFonts w:ascii="黑体" w:hAnsi="黑体" w:eastAsia="黑体" w:cs="黑体"/>
          <w:szCs w:val="21"/>
        </w:rPr>
      </w:pPr>
      <w:r>
        <w:rPr>
          <w:rFonts w:hint="eastAsia" w:ascii="黑体" w:hAnsi="黑体" w:eastAsia="黑体" w:cs="黑体"/>
          <w:szCs w:val="21"/>
        </w:rPr>
        <w:t>6 运输与</w:t>
      </w:r>
      <w:r>
        <w:rPr>
          <w:rFonts w:ascii="黑体" w:hAnsi="黑体" w:eastAsia="黑体" w:cs="黑体"/>
          <w:szCs w:val="21"/>
        </w:rPr>
        <w:t>配送</w:t>
      </w:r>
    </w:p>
    <w:p>
      <w:pPr>
        <w:spacing w:line="360" w:lineRule="auto"/>
        <w:rPr>
          <w:rFonts w:ascii="宋体" w:hAnsi="宋体" w:eastAsia="宋体" w:cs="宋体"/>
          <w:szCs w:val="21"/>
        </w:rPr>
      </w:pPr>
      <w:r>
        <w:rPr>
          <w:rFonts w:hint="eastAsia" w:ascii="宋体" w:hAnsi="宋体" w:eastAsia="宋体" w:cs="宋体"/>
          <w:szCs w:val="21"/>
        </w:rPr>
        <w:t>6.1 运输</w:t>
      </w:r>
      <w:r>
        <w:rPr>
          <w:rFonts w:ascii="宋体" w:hAnsi="宋体" w:eastAsia="宋体" w:cs="宋体"/>
          <w:szCs w:val="21"/>
        </w:rPr>
        <w:t>工具应保持清洁卫生，不得与有毒有害物质一</w:t>
      </w:r>
      <w:r>
        <w:rPr>
          <w:rFonts w:hint="eastAsia" w:ascii="宋体" w:hAnsi="宋体" w:eastAsia="宋体" w:cs="宋体"/>
          <w:szCs w:val="21"/>
        </w:rPr>
        <w:t>同</w:t>
      </w:r>
      <w:r>
        <w:rPr>
          <w:rFonts w:ascii="宋体" w:hAnsi="宋体" w:eastAsia="宋体" w:cs="宋体"/>
          <w:szCs w:val="21"/>
        </w:rPr>
        <w:t>运输。</w:t>
      </w:r>
    </w:p>
    <w:p>
      <w:pPr>
        <w:spacing w:line="360" w:lineRule="auto"/>
        <w:rPr>
          <w:rFonts w:ascii="宋体" w:hAnsi="宋体" w:eastAsia="宋体" w:cs="宋体"/>
          <w:szCs w:val="21"/>
        </w:rPr>
      </w:pPr>
      <w:r>
        <w:rPr>
          <w:rFonts w:ascii="宋体" w:hAnsi="宋体" w:eastAsia="宋体" w:cs="宋体"/>
          <w:szCs w:val="21"/>
        </w:rPr>
        <w:t xml:space="preserve">6.2 </w:t>
      </w:r>
      <w:r>
        <w:rPr>
          <w:rFonts w:hint="eastAsia" w:ascii="宋体" w:hAnsi="宋体" w:eastAsia="宋体" w:cs="宋体"/>
          <w:szCs w:val="21"/>
        </w:rPr>
        <w:t>与</w:t>
      </w:r>
      <w:r>
        <w:rPr>
          <w:rFonts w:ascii="宋体" w:hAnsi="宋体" w:eastAsia="宋体" w:cs="宋体"/>
          <w:szCs w:val="21"/>
        </w:rPr>
        <w:t>其它食品共同运输时，应采取分离或分隔措施，防止交叉污染。</w:t>
      </w:r>
    </w:p>
    <w:p>
      <w:pPr>
        <w:spacing w:line="360" w:lineRule="auto"/>
        <w:rPr>
          <w:rFonts w:ascii="宋体" w:hAnsi="宋体" w:eastAsia="宋体" w:cs="宋体"/>
          <w:szCs w:val="21"/>
        </w:rPr>
      </w:pPr>
      <w:r>
        <w:rPr>
          <w:rFonts w:ascii="宋体" w:hAnsi="宋体" w:eastAsia="宋体" w:cs="宋体"/>
          <w:szCs w:val="21"/>
        </w:rPr>
        <w:t xml:space="preserve">6.3 </w:t>
      </w:r>
      <w:r>
        <w:rPr>
          <w:rFonts w:hint="eastAsia" w:ascii="宋体" w:hAnsi="宋体" w:eastAsia="宋体" w:cs="宋体"/>
          <w:szCs w:val="21"/>
        </w:rPr>
        <w:t>运输</w:t>
      </w:r>
      <w:r>
        <w:rPr>
          <w:rFonts w:ascii="宋体" w:hAnsi="宋体" w:eastAsia="宋体" w:cs="宋体"/>
          <w:szCs w:val="21"/>
        </w:rPr>
        <w:t>和配送前应确认包装完整，温度符合</w:t>
      </w:r>
      <w:r>
        <w:rPr>
          <w:rFonts w:hint="eastAsia" w:ascii="宋体" w:hAnsi="宋体" w:eastAsia="宋体" w:cs="宋体"/>
          <w:szCs w:val="21"/>
        </w:rPr>
        <w:t>要</w:t>
      </w:r>
      <w:r>
        <w:rPr>
          <w:rFonts w:ascii="宋体" w:hAnsi="宋体" w:eastAsia="宋体" w:cs="宋体"/>
          <w:szCs w:val="21"/>
        </w:rPr>
        <w:t>求。</w:t>
      </w:r>
    </w:p>
    <w:p>
      <w:pPr>
        <w:spacing w:line="360" w:lineRule="auto"/>
        <w:rPr>
          <w:rFonts w:ascii="宋体" w:hAnsi="宋体" w:eastAsia="宋体" w:cs="宋体"/>
          <w:szCs w:val="21"/>
        </w:rPr>
      </w:pPr>
      <w:r>
        <w:rPr>
          <w:rFonts w:ascii="宋体" w:hAnsi="宋体" w:eastAsia="宋体" w:cs="宋体"/>
          <w:szCs w:val="21"/>
        </w:rPr>
        <w:t xml:space="preserve">6.4 </w:t>
      </w:r>
      <w:r>
        <w:rPr>
          <w:rFonts w:hint="eastAsia" w:ascii="宋体" w:hAnsi="宋体" w:eastAsia="宋体" w:cs="宋体"/>
          <w:szCs w:val="21"/>
        </w:rPr>
        <w:t>运输和</w:t>
      </w:r>
      <w:r>
        <w:rPr>
          <w:rFonts w:ascii="宋体" w:hAnsi="宋体" w:eastAsia="宋体" w:cs="宋体"/>
          <w:szCs w:val="21"/>
        </w:rPr>
        <w:t>配送过程</w:t>
      </w:r>
      <w:r>
        <w:rPr>
          <w:rFonts w:hint="eastAsia" w:ascii="宋体" w:hAnsi="宋体" w:eastAsia="宋体" w:cs="宋体"/>
          <w:szCs w:val="21"/>
        </w:rPr>
        <w:t>中</w:t>
      </w:r>
      <w:r>
        <w:rPr>
          <w:rFonts w:ascii="宋体" w:hAnsi="宋体" w:eastAsia="宋体" w:cs="宋体"/>
          <w:szCs w:val="21"/>
        </w:rPr>
        <w:t>，严禁打开包装。</w:t>
      </w:r>
    </w:p>
    <w:p>
      <w:pPr>
        <w:spacing w:line="360" w:lineRule="auto"/>
        <w:rPr>
          <w:rFonts w:ascii="宋体" w:hAnsi="宋体" w:eastAsia="宋体" w:cs="宋体"/>
          <w:szCs w:val="21"/>
        </w:rPr>
      </w:pPr>
      <w:r>
        <w:rPr>
          <w:rFonts w:ascii="宋体" w:hAnsi="宋体" w:eastAsia="宋体" w:cs="宋体"/>
          <w:szCs w:val="21"/>
        </w:rPr>
        <w:t xml:space="preserve">6.5 </w:t>
      </w:r>
      <w:r>
        <w:rPr>
          <w:rFonts w:hint="eastAsia" w:ascii="宋体" w:hAnsi="宋体" w:eastAsia="宋体" w:cs="宋体"/>
          <w:szCs w:val="21"/>
        </w:rPr>
        <w:t>如运输时间在</w:t>
      </w:r>
      <w:r>
        <w:rPr>
          <w:rFonts w:ascii="宋体" w:hAnsi="宋体" w:eastAsia="宋体" w:cs="宋体"/>
          <w:szCs w:val="21"/>
        </w:rPr>
        <w:t>24小时以内的，运输温度应保持在</w:t>
      </w:r>
      <w:r>
        <w:rPr>
          <w:rFonts w:ascii="宋体" w:hAnsi="宋体" w:eastAsia="宋体" w:cs="宋体"/>
          <w:color w:val="auto"/>
          <w:szCs w:val="21"/>
        </w:rPr>
        <w:t>-10℃～20℃</w:t>
      </w:r>
      <w:r>
        <w:rPr>
          <w:rFonts w:hint="eastAsia" w:ascii="宋体" w:hAnsi="宋体" w:eastAsia="宋体" w:cs="宋体"/>
          <w:szCs w:val="21"/>
        </w:rPr>
        <w:t>；如运输时间在</w:t>
      </w:r>
      <w:r>
        <w:rPr>
          <w:rFonts w:ascii="宋体" w:hAnsi="宋体" w:eastAsia="宋体" w:cs="宋体"/>
          <w:szCs w:val="21"/>
        </w:rPr>
        <w:t>24小时以上的，运输温度应保持在</w:t>
      </w:r>
      <w:r>
        <w:rPr>
          <w:rFonts w:ascii="宋体" w:hAnsi="宋体" w:eastAsia="宋体" w:cs="宋体"/>
          <w:color w:val="auto"/>
          <w:szCs w:val="21"/>
        </w:rPr>
        <w:t>-5℃～5℃</w:t>
      </w:r>
      <w:r>
        <w:rPr>
          <w:rFonts w:hint="eastAsia" w:ascii="宋体" w:hAnsi="宋体" w:eastAsia="宋体" w:cs="宋体"/>
          <w:szCs w:val="21"/>
        </w:rPr>
        <w:t>。</w:t>
      </w:r>
    </w:p>
    <w:p>
      <w:pPr>
        <w:spacing w:line="360" w:lineRule="auto"/>
        <w:rPr>
          <w:rFonts w:ascii="宋体" w:hAnsi="宋体" w:eastAsia="宋体" w:cs="宋体"/>
          <w:szCs w:val="21"/>
        </w:rPr>
      </w:pPr>
      <w:r>
        <w:rPr>
          <w:rFonts w:ascii="宋体" w:hAnsi="宋体" w:eastAsia="宋体" w:cs="宋体"/>
          <w:szCs w:val="21"/>
        </w:rPr>
        <w:t xml:space="preserve">6.6 </w:t>
      </w:r>
      <w:r>
        <w:rPr>
          <w:rFonts w:hint="eastAsia" w:ascii="宋体" w:hAnsi="宋体" w:eastAsia="宋体" w:cs="宋体"/>
          <w:szCs w:val="21"/>
        </w:rPr>
        <w:t>采取冷藏设备运输时，</w:t>
      </w:r>
      <w:r>
        <w:rPr>
          <w:rFonts w:ascii="宋体" w:hAnsi="宋体" w:eastAsia="宋体" w:cs="宋体"/>
          <w:szCs w:val="21"/>
        </w:rPr>
        <w:t>运输过程中</w:t>
      </w:r>
      <w:r>
        <w:rPr>
          <w:rFonts w:hint="eastAsia" w:ascii="宋体" w:hAnsi="宋体" w:eastAsia="宋体" w:cs="宋体"/>
          <w:szCs w:val="21"/>
        </w:rPr>
        <w:t>应</w:t>
      </w:r>
      <w:r>
        <w:rPr>
          <w:rFonts w:ascii="宋体" w:hAnsi="宋体" w:eastAsia="宋体" w:cs="宋体"/>
          <w:szCs w:val="21"/>
        </w:rPr>
        <w:t>对温度进行实时连续监控，记录时间间隔</w:t>
      </w:r>
      <w:r>
        <w:rPr>
          <w:rFonts w:ascii="宋体" w:hAnsi="宋体" w:eastAsia="宋体" w:cs="宋体"/>
          <w:color w:val="auto"/>
          <w:szCs w:val="21"/>
        </w:rPr>
        <w:t>不宜</w:t>
      </w:r>
      <w:r>
        <w:rPr>
          <w:rFonts w:hint="eastAsia" w:ascii="宋体" w:hAnsi="宋体" w:eastAsia="宋体" w:cs="宋体"/>
          <w:color w:val="auto"/>
          <w:szCs w:val="21"/>
        </w:rPr>
        <w:t>超</w:t>
      </w:r>
      <w:r>
        <w:rPr>
          <w:rFonts w:ascii="宋体" w:hAnsi="宋体" w:eastAsia="宋体" w:cs="宋体"/>
          <w:color w:val="auto"/>
          <w:szCs w:val="21"/>
        </w:rPr>
        <w:t>过10min</w:t>
      </w:r>
      <w:r>
        <w:rPr>
          <w:rFonts w:hint="eastAsia" w:ascii="宋体" w:hAnsi="宋体" w:eastAsia="宋体" w:cs="宋体"/>
          <w:szCs w:val="21"/>
        </w:rPr>
        <w:t>。当</w:t>
      </w:r>
      <w:r>
        <w:rPr>
          <w:rFonts w:ascii="宋体" w:hAnsi="宋体" w:eastAsia="宋体" w:cs="宋体"/>
          <w:szCs w:val="21"/>
        </w:rPr>
        <w:t>运输</w:t>
      </w:r>
      <w:r>
        <w:rPr>
          <w:rFonts w:hint="eastAsia" w:ascii="宋体" w:hAnsi="宋体" w:eastAsia="宋体" w:cs="宋体"/>
          <w:szCs w:val="21"/>
        </w:rPr>
        <w:t>设备</w:t>
      </w:r>
      <w:r>
        <w:rPr>
          <w:rFonts w:ascii="宋体" w:hAnsi="宋体" w:eastAsia="宋体" w:cs="宋体"/>
          <w:szCs w:val="21"/>
        </w:rPr>
        <w:t>温度</w:t>
      </w:r>
      <w:r>
        <w:rPr>
          <w:rFonts w:hint="eastAsia" w:ascii="宋体" w:hAnsi="宋体" w:eastAsia="宋体" w:cs="宋体"/>
          <w:szCs w:val="21"/>
        </w:rPr>
        <w:t>超出</w:t>
      </w:r>
      <w:r>
        <w:rPr>
          <w:rFonts w:ascii="宋体" w:hAnsi="宋体" w:eastAsia="宋体" w:cs="宋体"/>
          <w:szCs w:val="21"/>
        </w:rPr>
        <w:t>设定范围时，应立即采取纠正行动和应急措施，并如实记录超温</w:t>
      </w:r>
      <w:r>
        <w:rPr>
          <w:rFonts w:hint="eastAsia" w:ascii="宋体" w:hAnsi="宋体" w:eastAsia="宋体" w:cs="宋体"/>
          <w:szCs w:val="21"/>
        </w:rPr>
        <w:t>范围</w:t>
      </w:r>
      <w:r>
        <w:rPr>
          <w:rFonts w:ascii="宋体" w:hAnsi="宋体" w:eastAsia="宋体" w:cs="宋体"/>
          <w:szCs w:val="21"/>
        </w:rPr>
        <w:t>和时间。</w:t>
      </w:r>
    </w:p>
    <w:p>
      <w:pPr>
        <w:spacing w:line="720" w:lineRule="auto"/>
        <w:rPr>
          <w:rFonts w:ascii="黑体" w:hAnsi="黑体" w:eastAsia="黑体" w:cs="黑体"/>
          <w:szCs w:val="21"/>
        </w:rPr>
      </w:pPr>
      <w:r>
        <w:rPr>
          <w:rFonts w:hint="eastAsia" w:ascii="黑体" w:hAnsi="黑体" w:eastAsia="黑体" w:cs="黑体"/>
          <w:szCs w:val="21"/>
        </w:rPr>
        <w:t>7 交接</w:t>
      </w:r>
    </w:p>
    <w:p>
      <w:pPr>
        <w:spacing w:line="360" w:lineRule="auto"/>
        <w:rPr>
          <w:rFonts w:ascii="宋体" w:hAnsi="宋体" w:eastAsia="宋体" w:cs="宋体"/>
          <w:szCs w:val="21"/>
        </w:rPr>
      </w:pPr>
      <w:r>
        <w:rPr>
          <w:rFonts w:hint="eastAsia" w:ascii="宋体" w:hAnsi="宋体" w:eastAsia="宋体" w:cs="宋体"/>
          <w:szCs w:val="21"/>
        </w:rPr>
        <w:t>7.1 产</w:t>
      </w:r>
      <w:r>
        <w:rPr>
          <w:rFonts w:ascii="宋体" w:hAnsi="宋体" w:eastAsia="宋体" w:cs="宋体"/>
          <w:szCs w:val="21"/>
        </w:rPr>
        <w:t>品交接时，应做好</w:t>
      </w:r>
      <w:r>
        <w:rPr>
          <w:rFonts w:hint="eastAsia" w:ascii="宋体" w:hAnsi="宋体" w:eastAsia="宋体" w:cs="宋体"/>
          <w:szCs w:val="21"/>
        </w:rPr>
        <w:t>以</w:t>
      </w:r>
      <w:r>
        <w:rPr>
          <w:rFonts w:ascii="宋体" w:hAnsi="宋体" w:eastAsia="宋体" w:cs="宋体"/>
          <w:szCs w:val="21"/>
        </w:rPr>
        <w:t>下查验</w:t>
      </w:r>
      <w:r>
        <w:rPr>
          <w:rFonts w:hint="eastAsia" w:ascii="宋体" w:hAnsi="宋体" w:eastAsia="宋体" w:cs="宋体"/>
          <w:szCs w:val="21"/>
        </w:rPr>
        <w:t>，</w:t>
      </w:r>
      <w:r>
        <w:rPr>
          <w:rFonts w:ascii="宋体" w:hAnsi="宋体" w:eastAsia="宋体" w:cs="宋体"/>
          <w:szCs w:val="21"/>
        </w:rPr>
        <w:t>出现以下</w:t>
      </w:r>
      <w:r>
        <w:rPr>
          <w:rFonts w:hint="eastAsia" w:ascii="宋体" w:hAnsi="宋体" w:eastAsia="宋体" w:cs="宋体"/>
          <w:szCs w:val="21"/>
        </w:rPr>
        <w:t>任何</w:t>
      </w:r>
      <w:r>
        <w:rPr>
          <w:rFonts w:ascii="宋体" w:hAnsi="宋体" w:eastAsia="宋体" w:cs="宋体"/>
          <w:szCs w:val="21"/>
        </w:rPr>
        <w:t>情况时，应不予接收：</w:t>
      </w:r>
    </w:p>
    <w:p>
      <w:pPr>
        <w:pStyle w:val="13"/>
        <w:numPr>
          <w:ilvl w:val="0"/>
          <w:numId w:val="1"/>
        </w:numPr>
        <w:adjustRightInd w:val="0"/>
        <w:snapToGrid w:val="0"/>
        <w:spacing w:line="360" w:lineRule="auto"/>
        <w:ind w:left="0" w:firstLine="420" w:firstLineChars="0"/>
        <w:rPr>
          <w:rFonts w:ascii="宋体" w:hAnsi="宋体" w:eastAsia="宋体" w:cs="宋体"/>
          <w:szCs w:val="21"/>
        </w:rPr>
      </w:pPr>
      <w:r>
        <w:rPr>
          <w:rFonts w:hint="eastAsia" w:ascii="宋体" w:hAnsi="宋体" w:eastAsia="宋体" w:cs="宋体"/>
          <w:szCs w:val="21"/>
        </w:rPr>
        <w:t>供货</w:t>
      </w:r>
      <w:r>
        <w:rPr>
          <w:rFonts w:ascii="宋体" w:hAnsi="宋体" w:eastAsia="宋体" w:cs="宋体"/>
          <w:szCs w:val="21"/>
        </w:rPr>
        <w:t>信息</w:t>
      </w:r>
      <w:r>
        <w:rPr>
          <w:rFonts w:hint="eastAsia" w:ascii="宋体" w:hAnsi="宋体" w:eastAsia="宋体" w:cs="宋体"/>
          <w:szCs w:val="21"/>
        </w:rPr>
        <w:t>不</w:t>
      </w:r>
      <w:r>
        <w:rPr>
          <w:rFonts w:ascii="宋体" w:hAnsi="宋体" w:eastAsia="宋体" w:cs="宋体"/>
          <w:szCs w:val="21"/>
        </w:rPr>
        <w:t>齐全</w:t>
      </w:r>
      <w:r>
        <w:rPr>
          <w:rFonts w:hint="eastAsia" w:ascii="宋体" w:hAnsi="宋体" w:eastAsia="宋体" w:cs="宋体"/>
          <w:szCs w:val="21"/>
        </w:rPr>
        <w:t>。</w:t>
      </w:r>
      <w:r>
        <w:rPr>
          <w:rFonts w:ascii="宋体" w:hAnsi="宋体" w:eastAsia="宋体" w:cs="宋体"/>
          <w:szCs w:val="21"/>
        </w:rPr>
        <w:t>产品</w:t>
      </w:r>
      <w:r>
        <w:rPr>
          <w:rFonts w:hint="eastAsia" w:ascii="宋体" w:hAnsi="宋体" w:eastAsia="宋体" w:cs="宋体"/>
          <w:szCs w:val="21"/>
        </w:rPr>
        <w:t>并非</w:t>
      </w:r>
      <w:r>
        <w:rPr>
          <w:rFonts w:ascii="宋体" w:hAnsi="宋体" w:eastAsia="宋体" w:cs="宋体"/>
          <w:szCs w:val="21"/>
        </w:rPr>
        <w:t>来</w:t>
      </w:r>
      <w:r>
        <w:rPr>
          <w:rFonts w:hint="eastAsia" w:ascii="宋体" w:hAnsi="宋体" w:eastAsia="宋体" w:cs="宋体"/>
          <w:szCs w:val="21"/>
        </w:rPr>
        <w:t>自</w:t>
      </w:r>
      <w:r>
        <w:rPr>
          <w:rFonts w:ascii="宋体" w:hAnsi="宋体" w:eastAsia="宋体" w:cs="宋体"/>
          <w:szCs w:val="21"/>
        </w:rPr>
        <w:t>养殖河</w:t>
      </w:r>
      <w:r>
        <w:rPr>
          <w:rFonts w:hint="eastAsia" w:ascii="宋体" w:hAnsi="宋体" w:eastAsia="宋体" w:cs="宋体"/>
          <w:szCs w:val="21"/>
        </w:rPr>
        <w:t>鲀渔源备案</w:t>
      </w:r>
      <w:r>
        <w:rPr>
          <w:rFonts w:ascii="宋体" w:hAnsi="宋体" w:eastAsia="宋体" w:cs="宋体"/>
          <w:szCs w:val="21"/>
        </w:rPr>
        <w:t>基地和</w:t>
      </w:r>
      <w:r>
        <w:rPr>
          <w:rFonts w:hint="eastAsia" w:ascii="宋体" w:hAnsi="宋体" w:eastAsia="宋体" w:cs="宋体"/>
          <w:szCs w:val="21"/>
        </w:rPr>
        <w:t>养殖河鲀</w:t>
      </w:r>
      <w:r>
        <w:rPr>
          <w:rFonts w:ascii="宋体" w:hAnsi="宋体" w:eastAsia="宋体" w:cs="宋体"/>
          <w:szCs w:val="21"/>
        </w:rPr>
        <w:t>备案</w:t>
      </w:r>
      <w:r>
        <w:rPr>
          <w:rFonts w:hint="eastAsia" w:ascii="宋体" w:hAnsi="宋体" w:eastAsia="宋体" w:cs="宋体"/>
          <w:szCs w:val="21"/>
        </w:rPr>
        <w:t>加工企业</w:t>
      </w:r>
      <w:r>
        <w:rPr>
          <w:rFonts w:ascii="宋体" w:hAnsi="宋体" w:eastAsia="宋体" w:cs="宋体"/>
          <w:szCs w:val="21"/>
        </w:rPr>
        <w:t>；</w:t>
      </w:r>
    </w:p>
    <w:p>
      <w:pPr>
        <w:pStyle w:val="13"/>
        <w:numPr>
          <w:ilvl w:val="0"/>
          <w:numId w:val="1"/>
        </w:numPr>
        <w:adjustRightInd w:val="0"/>
        <w:snapToGrid w:val="0"/>
        <w:spacing w:line="360" w:lineRule="auto"/>
        <w:ind w:left="0" w:firstLine="420" w:firstLineChars="0"/>
        <w:rPr>
          <w:rFonts w:ascii="宋体" w:hAnsi="宋体" w:eastAsia="宋体" w:cs="宋体"/>
          <w:szCs w:val="21"/>
        </w:rPr>
      </w:pPr>
      <w:r>
        <w:rPr>
          <w:rFonts w:hint="eastAsia" w:ascii="宋体" w:hAnsi="宋体" w:eastAsia="宋体" w:cs="宋体"/>
          <w:szCs w:val="21"/>
        </w:rPr>
        <w:t>包装存在不</w:t>
      </w:r>
      <w:r>
        <w:rPr>
          <w:rFonts w:ascii="宋体" w:hAnsi="宋体" w:eastAsia="宋体" w:cs="宋体"/>
          <w:szCs w:val="21"/>
        </w:rPr>
        <w:t>完整、</w:t>
      </w:r>
      <w:r>
        <w:rPr>
          <w:rFonts w:hint="eastAsia" w:ascii="宋体" w:hAnsi="宋体" w:eastAsia="宋体" w:cs="宋体"/>
          <w:szCs w:val="21"/>
        </w:rPr>
        <w:t>不</w:t>
      </w:r>
      <w:r>
        <w:rPr>
          <w:rFonts w:ascii="宋体" w:hAnsi="宋体" w:eastAsia="宋体" w:cs="宋体"/>
          <w:szCs w:val="21"/>
        </w:rPr>
        <w:t>清洁、污染</w:t>
      </w:r>
      <w:r>
        <w:rPr>
          <w:rFonts w:hint="eastAsia" w:ascii="宋体" w:hAnsi="宋体" w:eastAsia="宋体" w:cs="宋体"/>
          <w:szCs w:val="21"/>
        </w:rPr>
        <w:t>或</w:t>
      </w:r>
      <w:r>
        <w:rPr>
          <w:rFonts w:ascii="宋体" w:hAnsi="宋体" w:eastAsia="宋体" w:cs="宋体"/>
          <w:szCs w:val="21"/>
        </w:rPr>
        <w:t>异味</w:t>
      </w:r>
      <w:r>
        <w:rPr>
          <w:rFonts w:hint="eastAsia" w:ascii="宋体" w:hAnsi="宋体" w:eastAsia="宋体" w:cs="宋体"/>
          <w:szCs w:val="21"/>
        </w:rPr>
        <w:t>的情况</w:t>
      </w:r>
      <w:r>
        <w:rPr>
          <w:rFonts w:ascii="宋体" w:hAnsi="宋体" w:eastAsia="宋体" w:cs="宋体"/>
          <w:szCs w:val="21"/>
        </w:rPr>
        <w:t>；</w:t>
      </w:r>
    </w:p>
    <w:p>
      <w:pPr>
        <w:pStyle w:val="13"/>
        <w:numPr>
          <w:ilvl w:val="0"/>
          <w:numId w:val="1"/>
        </w:numPr>
        <w:adjustRightInd w:val="0"/>
        <w:snapToGrid w:val="0"/>
        <w:spacing w:line="360" w:lineRule="auto"/>
        <w:ind w:left="0" w:firstLine="420" w:firstLineChars="0"/>
        <w:rPr>
          <w:rFonts w:ascii="宋体" w:hAnsi="宋体" w:eastAsia="宋体" w:cs="宋体"/>
          <w:szCs w:val="21"/>
        </w:rPr>
      </w:pPr>
      <w:r>
        <w:rPr>
          <w:rFonts w:hint="eastAsia" w:ascii="宋体" w:hAnsi="宋体" w:eastAsia="宋体" w:cs="宋体"/>
          <w:szCs w:val="21"/>
        </w:rPr>
        <w:t>加冰</w:t>
      </w:r>
      <w:r>
        <w:rPr>
          <w:rFonts w:ascii="宋体" w:hAnsi="宋体" w:eastAsia="宋体" w:cs="宋体"/>
          <w:szCs w:val="21"/>
        </w:rPr>
        <w:t>保鲜运输时，存在脱冰</w:t>
      </w:r>
      <w:r>
        <w:rPr>
          <w:rFonts w:hint="eastAsia" w:ascii="宋体" w:hAnsi="宋体" w:eastAsia="宋体" w:cs="宋体"/>
          <w:szCs w:val="21"/>
        </w:rPr>
        <w:t>现象</w:t>
      </w:r>
      <w:r>
        <w:rPr>
          <w:rFonts w:ascii="宋体" w:hAnsi="宋体" w:eastAsia="宋体" w:cs="宋体"/>
          <w:szCs w:val="21"/>
        </w:rPr>
        <w:t>；</w:t>
      </w:r>
    </w:p>
    <w:p>
      <w:pPr>
        <w:pStyle w:val="13"/>
        <w:numPr>
          <w:ilvl w:val="0"/>
          <w:numId w:val="1"/>
        </w:numPr>
        <w:adjustRightInd w:val="0"/>
        <w:snapToGrid w:val="0"/>
        <w:spacing w:line="360" w:lineRule="auto"/>
        <w:ind w:left="0" w:firstLine="420" w:firstLineChars="0"/>
        <w:rPr>
          <w:rFonts w:ascii="宋体" w:hAnsi="宋体" w:eastAsia="宋体" w:cs="宋体"/>
          <w:szCs w:val="21"/>
        </w:rPr>
      </w:pPr>
      <w:r>
        <w:rPr>
          <w:rFonts w:hint="eastAsia" w:ascii="宋体" w:hAnsi="宋体" w:eastAsia="宋体" w:cs="宋体"/>
          <w:szCs w:val="21"/>
        </w:rPr>
        <w:t>冷藏运输</w:t>
      </w:r>
      <w:r>
        <w:rPr>
          <w:rFonts w:ascii="宋体" w:hAnsi="宋体" w:eastAsia="宋体" w:cs="宋体"/>
          <w:szCs w:val="21"/>
        </w:rPr>
        <w:t>时，</w:t>
      </w:r>
      <w:r>
        <w:rPr>
          <w:rFonts w:hint="eastAsia" w:ascii="宋体" w:hAnsi="宋体" w:eastAsia="宋体" w:cs="宋体"/>
          <w:szCs w:val="21"/>
        </w:rPr>
        <w:t>运输</w:t>
      </w:r>
      <w:r>
        <w:rPr>
          <w:rFonts w:ascii="宋体" w:hAnsi="宋体" w:eastAsia="宋体" w:cs="宋体"/>
          <w:szCs w:val="21"/>
        </w:rPr>
        <w:t>过程中温度监控记录</w:t>
      </w:r>
      <w:r>
        <w:rPr>
          <w:rFonts w:hint="eastAsia" w:ascii="宋体" w:hAnsi="宋体" w:eastAsia="宋体" w:cs="宋体"/>
          <w:szCs w:val="21"/>
        </w:rPr>
        <w:t>不</w:t>
      </w:r>
      <w:r>
        <w:rPr>
          <w:rFonts w:ascii="宋体" w:hAnsi="宋体" w:eastAsia="宋体" w:cs="宋体"/>
          <w:szCs w:val="21"/>
        </w:rPr>
        <w:t>完整，</w:t>
      </w:r>
      <w:r>
        <w:rPr>
          <w:rFonts w:hint="eastAsia" w:ascii="宋体" w:hAnsi="宋体" w:eastAsia="宋体" w:cs="宋体"/>
          <w:szCs w:val="21"/>
        </w:rPr>
        <w:t>或</w:t>
      </w:r>
      <w:r>
        <w:rPr>
          <w:rFonts w:ascii="宋体" w:hAnsi="宋体" w:eastAsia="宋体" w:cs="宋体"/>
          <w:szCs w:val="21"/>
        </w:rPr>
        <w:t>出现异常状况时</w:t>
      </w:r>
      <w:r>
        <w:rPr>
          <w:rFonts w:hint="eastAsia" w:ascii="宋体" w:hAnsi="宋体" w:eastAsia="宋体" w:cs="宋体"/>
          <w:szCs w:val="21"/>
        </w:rPr>
        <w:t>，未采取有效</w:t>
      </w:r>
      <w:r>
        <w:rPr>
          <w:rFonts w:ascii="宋体" w:hAnsi="宋体" w:eastAsia="宋体" w:cs="宋体"/>
          <w:szCs w:val="21"/>
        </w:rPr>
        <w:t>的处置措施。</w:t>
      </w:r>
    </w:p>
    <w:p>
      <w:pPr>
        <w:spacing w:line="360" w:lineRule="auto"/>
        <w:rPr>
          <w:rFonts w:ascii="宋体" w:hAnsi="宋体" w:eastAsia="宋体" w:cs="宋体"/>
          <w:szCs w:val="21"/>
        </w:rPr>
      </w:pPr>
      <w:r>
        <w:rPr>
          <w:rFonts w:hint="eastAsia" w:ascii="宋体" w:hAnsi="宋体" w:eastAsia="宋体" w:cs="宋体"/>
          <w:szCs w:val="21"/>
        </w:rPr>
        <w:t>7.2 交接</w:t>
      </w:r>
      <w:r>
        <w:rPr>
          <w:rFonts w:ascii="宋体" w:hAnsi="宋体" w:eastAsia="宋体" w:cs="宋体"/>
          <w:szCs w:val="21"/>
        </w:rPr>
        <w:t>查验合格产品，应及时</w:t>
      </w:r>
      <w:r>
        <w:rPr>
          <w:rFonts w:hint="eastAsia" w:ascii="宋体" w:hAnsi="宋体" w:eastAsia="宋体" w:cs="宋体"/>
          <w:szCs w:val="21"/>
        </w:rPr>
        <w:t>卸</w:t>
      </w:r>
      <w:r>
        <w:rPr>
          <w:rFonts w:ascii="宋体" w:hAnsi="宋体" w:eastAsia="宋体" w:cs="宋体"/>
          <w:szCs w:val="21"/>
        </w:rPr>
        <w:t>货入库，尽量缩短作业时间，</w:t>
      </w:r>
      <w:r>
        <w:rPr>
          <w:rFonts w:hint="eastAsia" w:ascii="宋体" w:hAnsi="宋体" w:eastAsia="宋体" w:cs="宋体"/>
          <w:szCs w:val="21"/>
        </w:rPr>
        <w:t>防止超出</w:t>
      </w:r>
      <w:r>
        <w:rPr>
          <w:rFonts w:ascii="宋体" w:hAnsi="宋体" w:eastAsia="宋体" w:cs="宋体"/>
          <w:szCs w:val="21"/>
        </w:rPr>
        <w:t>规定</w:t>
      </w:r>
      <w:r>
        <w:rPr>
          <w:rFonts w:hint="eastAsia" w:ascii="宋体" w:hAnsi="宋体" w:eastAsia="宋体" w:cs="宋体"/>
          <w:szCs w:val="21"/>
        </w:rPr>
        <w:t>温度</w:t>
      </w:r>
      <w:r>
        <w:rPr>
          <w:rFonts w:ascii="宋体" w:hAnsi="宋体" w:eastAsia="宋体" w:cs="宋体"/>
          <w:szCs w:val="21"/>
        </w:rPr>
        <w:t>范围。</w:t>
      </w:r>
    </w:p>
    <w:p>
      <w:pPr>
        <w:spacing w:line="720" w:lineRule="auto"/>
        <w:rPr>
          <w:rFonts w:ascii="黑体" w:hAnsi="黑体" w:eastAsia="黑体" w:cs="黑体"/>
          <w:szCs w:val="21"/>
        </w:rPr>
      </w:pPr>
      <w:r>
        <w:rPr>
          <w:rFonts w:ascii="黑体" w:hAnsi="黑体" w:eastAsia="黑体" w:cs="黑体"/>
          <w:szCs w:val="21"/>
        </w:rPr>
        <w:t xml:space="preserve">8 </w:t>
      </w:r>
      <w:r>
        <w:rPr>
          <w:rFonts w:hint="eastAsia" w:ascii="黑体" w:hAnsi="黑体" w:eastAsia="黑体" w:cs="黑体"/>
          <w:szCs w:val="21"/>
        </w:rPr>
        <w:t>储存</w:t>
      </w:r>
      <w:r>
        <w:rPr>
          <w:rFonts w:ascii="黑体" w:hAnsi="黑体" w:eastAsia="黑体" w:cs="黑体"/>
          <w:szCs w:val="21"/>
        </w:rPr>
        <w:t>与销售</w:t>
      </w:r>
    </w:p>
    <w:p>
      <w:pPr>
        <w:spacing w:line="360" w:lineRule="auto"/>
        <w:rPr>
          <w:rFonts w:ascii="宋体" w:hAnsi="宋体" w:eastAsia="宋体" w:cs="宋体"/>
          <w:szCs w:val="21"/>
        </w:rPr>
      </w:pPr>
      <w:r>
        <w:rPr>
          <w:rFonts w:hint="eastAsia" w:ascii="宋体" w:hAnsi="宋体" w:eastAsia="宋体" w:cs="宋体"/>
          <w:szCs w:val="21"/>
        </w:rPr>
        <w:t>8.1 产</w:t>
      </w:r>
      <w:r>
        <w:rPr>
          <w:rFonts w:ascii="宋体" w:hAnsi="宋体" w:eastAsia="宋体" w:cs="宋体"/>
          <w:szCs w:val="21"/>
        </w:rPr>
        <w:t>品在</w:t>
      </w:r>
      <w:r>
        <w:rPr>
          <w:rFonts w:hint="eastAsia" w:ascii="宋体" w:hAnsi="宋体" w:eastAsia="宋体" w:cs="宋体"/>
          <w:szCs w:val="21"/>
        </w:rPr>
        <w:t>储存和</w:t>
      </w:r>
      <w:r>
        <w:rPr>
          <w:rFonts w:ascii="宋体" w:hAnsi="宋体" w:eastAsia="宋体" w:cs="宋体"/>
          <w:szCs w:val="21"/>
        </w:rPr>
        <w:t>销售期间，应</w:t>
      </w:r>
      <w:r>
        <w:rPr>
          <w:rFonts w:hint="eastAsia" w:ascii="宋体" w:hAnsi="宋体" w:eastAsia="宋体" w:cs="宋体"/>
          <w:szCs w:val="21"/>
        </w:rPr>
        <w:t>采取</w:t>
      </w:r>
      <w:r>
        <w:rPr>
          <w:rFonts w:ascii="宋体" w:hAnsi="宋体" w:eastAsia="宋体" w:cs="宋体"/>
          <w:szCs w:val="21"/>
        </w:rPr>
        <w:t>温控措施，</w:t>
      </w:r>
      <w:r>
        <w:rPr>
          <w:rFonts w:hint="eastAsia" w:ascii="宋体" w:hAnsi="宋体" w:eastAsia="宋体" w:cs="宋体"/>
          <w:szCs w:val="21"/>
        </w:rPr>
        <w:t>防止</w:t>
      </w:r>
      <w:r>
        <w:rPr>
          <w:rFonts w:ascii="宋体" w:hAnsi="宋体" w:eastAsia="宋体" w:cs="宋体"/>
          <w:szCs w:val="21"/>
        </w:rPr>
        <w:t>产品</w:t>
      </w:r>
      <w:r>
        <w:rPr>
          <w:rFonts w:hint="eastAsia" w:ascii="宋体" w:hAnsi="宋体" w:eastAsia="宋体" w:cs="宋体"/>
          <w:szCs w:val="21"/>
        </w:rPr>
        <w:t>温度波动</w:t>
      </w:r>
      <w:r>
        <w:rPr>
          <w:rFonts w:ascii="宋体" w:hAnsi="宋体" w:eastAsia="宋体" w:cs="宋体"/>
          <w:szCs w:val="21"/>
        </w:rPr>
        <w:t>过大，产品温度宜控制在0℃～4℃</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8.2</w:t>
      </w:r>
      <w:r>
        <w:rPr>
          <w:rFonts w:ascii="宋体" w:hAnsi="宋体" w:eastAsia="宋体" w:cs="宋体"/>
          <w:szCs w:val="21"/>
        </w:rPr>
        <w:t xml:space="preserve"> </w:t>
      </w:r>
      <w:r>
        <w:rPr>
          <w:rFonts w:hint="eastAsia" w:ascii="宋体" w:hAnsi="宋体" w:eastAsia="宋体" w:cs="宋体"/>
          <w:szCs w:val="21"/>
        </w:rPr>
        <w:t>不</w:t>
      </w:r>
      <w:r>
        <w:rPr>
          <w:rFonts w:ascii="宋体" w:hAnsi="宋体" w:eastAsia="宋体" w:cs="宋体"/>
          <w:szCs w:val="21"/>
        </w:rPr>
        <w:t>同品种、规格、批次的产品应分别存</w:t>
      </w:r>
      <w:r>
        <w:rPr>
          <w:rFonts w:hint="eastAsia" w:ascii="宋体" w:hAnsi="宋体" w:eastAsia="宋体" w:cs="宋体"/>
          <w:szCs w:val="21"/>
        </w:rPr>
        <w:t>放。</w:t>
      </w:r>
    </w:p>
    <w:p>
      <w:pPr>
        <w:spacing w:line="360" w:lineRule="auto"/>
        <w:rPr>
          <w:rFonts w:ascii="宋体" w:hAnsi="宋体" w:eastAsia="宋体" w:cs="宋体"/>
          <w:szCs w:val="21"/>
        </w:rPr>
      </w:pPr>
      <w:r>
        <w:rPr>
          <w:rFonts w:ascii="宋体" w:hAnsi="宋体" w:eastAsia="宋体" w:cs="宋体"/>
          <w:szCs w:val="21"/>
        </w:rPr>
        <w:t xml:space="preserve">8.3 </w:t>
      </w:r>
      <w:r>
        <w:rPr>
          <w:rFonts w:hint="eastAsia" w:ascii="宋体" w:hAnsi="宋体" w:eastAsia="宋体" w:cs="宋体"/>
          <w:szCs w:val="21"/>
        </w:rPr>
        <w:t>超</w:t>
      </w:r>
      <w:r>
        <w:rPr>
          <w:rFonts w:ascii="宋体" w:hAnsi="宋体" w:eastAsia="宋体" w:cs="宋体"/>
          <w:szCs w:val="21"/>
        </w:rPr>
        <w:t>过货架期的产品应及时进行处理。</w:t>
      </w:r>
    </w:p>
    <w:p>
      <w:pPr>
        <w:spacing w:line="720" w:lineRule="auto"/>
        <w:rPr>
          <w:rFonts w:ascii="黑体" w:hAnsi="黑体" w:eastAsia="黑体" w:cs="黑体"/>
          <w:szCs w:val="21"/>
        </w:rPr>
      </w:pPr>
      <w:r>
        <w:rPr>
          <w:rFonts w:ascii="黑体" w:hAnsi="黑体" w:eastAsia="黑体" w:cs="黑体"/>
          <w:szCs w:val="21"/>
        </w:rPr>
        <w:t xml:space="preserve">9 </w:t>
      </w:r>
      <w:r>
        <w:rPr>
          <w:rFonts w:hint="eastAsia" w:ascii="黑体" w:hAnsi="黑体" w:eastAsia="黑体" w:cs="黑体"/>
          <w:szCs w:val="21"/>
        </w:rPr>
        <w:t>追溯</w:t>
      </w:r>
      <w:r>
        <w:rPr>
          <w:rFonts w:ascii="黑体" w:hAnsi="黑体" w:eastAsia="黑体" w:cs="黑体"/>
          <w:szCs w:val="21"/>
        </w:rPr>
        <w:t>管理</w:t>
      </w:r>
    </w:p>
    <w:p>
      <w:pPr>
        <w:spacing w:line="360" w:lineRule="auto"/>
        <w:rPr>
          <w:rFonts w:ascii="宋体" w:hAnsi="宋体" w:eastAsia="宋体" w:cs="宋体"/>
          <w:szCs w:val="21"/>
        </w:rPr>
      </w:pPr>
      <w:r>
        <w:rPr>
          <w:rFonts w:ascii="宋体" w:hAnsi="宋体" w:eastAsia="宋体" w:cs="宋体"/>
          <w:szCs w:val="21"/>
        </w:rPr>
        <w:t xml:space="preserve">9.1 </w:t>
      </w:r>
      <w:r>
        <w:rPr>
          <w:rFonts w:hint="eastAsia" w:ascii="宋体" w:hAnsi="宋体" w:eastAsia="宋体" w:cs="宋体"/>
          <w:szCs w:val="21"/>
        </w:rPr>
        <w:t>产</w:t>
      </w:r>
      <w:r>
        <w:rPr>
          <w:rFonts w:ascii="宋体" w:hAnsi="宋体" w:eastAsia="宋体" w:cs="宋体"/>
          <w:szCs w:val="21"/>
        </w:rPr>
        <w:t>品出厂、</w:t>
      </w:r>
      <w:r>
        <w:rPr>
          <w:rFonts w:hint="eastAsia" w:ascii="宋体" w:hAnsi="宋体" w:eastAsia="宋体" w:cs="宋体"/>
          <w:szCs w:val="21"/>
        </w:rPr>
        <w:t>运输与配送、</w:t>
      </w:r>
      <w:r>
        <w:rPr>
          <w:rFonts w:ascii="宋体" w:hAnsi="宋体" w:eastAsia="宋体" w:cs="宋体"/>
          <w:szCs w:val="21"/>
        </w:rPr>
        <w:t>交接、储存与销售各环节应</w:t>
      </w:r>
      <w:r>
        <w:rPr>
          <w:rFonts w:hint="eastAsia" w:ascii="宋体" w:hAnsi="宋体" w:eastAsia="宋体" w:cs="宋体"/>
          <w:szCs w:val="21"/>
        </w:rPr>
        <w:t>保存</w:t>
      </w:r>
      <w:r>
        <w:rPr>
          <w:rFonts w:ascii="宋体" w:hAnsi="宋体" w:eastAsia="宋体" w:cs="宋体"/>
          <w:szCs w:val="21"/>
        </w:rPr>
        <w:t>记录，</w:t>
      </w:r>
      <w:r>
        <w:rPr>
          <w:rFonts w:hint="eastAsia" w:ascii="宋体" w:hAnsi="宋体" w:eastAsia="宋体" w:cs="宋体"/>
          <w:szCs w:val="21"/>
        </w:rPr>
        <w:t>记录</w:t>
      </w:r>
      <w:r>
        <w:rPr>
          <w:rFonts w:ascii="宋体" w:hAnsi="宋体" w:eastAsia="宋体" w:cs="宋体"/>
          <w:szCs w:val="21"/>
        </w:rPr>
        <w:t>内容应</w:t>
      </w:r>
      <w:r>
        <w:rPr>
          <w:rFonts w:hint="eastAsia" w:ascii="宋体" w:hAnsi="宋体" w:eastAsia="宋体" w:cs="宋体"/>
          <w:szCs w:val="21"/>
        </w:rPr>
        <w:t>完整</w:t>
      </w:r>
      <w:r>
        <w:rPr>
          <w:rFonts w:ascii="宋体" w:hAnsi="宋体" w:eastAsia="宋体" w:cs="宋体"/>
          <w:szCs w:val="21"/>
        </w:rPr>
        <w:t>、详</w:t>
      </w:r>
      <w:r>
        <w:rPr>
          <w:rFonts w:hint="eastAsia" w:ascii="宋体" w:hAnsi="宋体" w:eastAsia="宋体" w:cs="宋体"/>
          <w:szCs w:val="21"/>
        </w:rPr>
        <w:t>实</w:t>
      </w:r>
      <w:r>
        <w:rPr>
          <w:rFonts w:ascii="宋体" w:hAnsi="宋体" w:eastAsia="宋体" w:cs="宋体"/>
          <w:szCs w:val="21"/>
        </w:rPr>
        <w:t>、</w:t>
      </w:r>
      <w:r>
        <w:rPr>
          <w:rFonts w:hint="eastAsia" w:ascii="宋体" w:hAnsi="宋体" w:eastAsia="宋体" w:cs="宋体"/>
          <w:szCs w:val="21"/>
        </w:rPr>
        <w:t>清晰</w:t>
      </w:r>
      <w:r>
        <w:rPr>
          <w:rFonts w:ascii="宋体" w:hAnsi="宋体" w:eastAsia="宋体" w:cs="宋体"/>
          <w:szCs w:val="21"/>
        </w:rPr>
        <w:t>，易于识别和</w:t>
      </w:r>
      <w:r>
        <w:rPr>
          <w:rFonts w:hint="eastAsia" w:ascii="宋体" w:hAnsi="宋体" w:eastAsia="宋体" w:cs="宋体"/>
          <w:szCs w:val="21"/>
        </w:rPr>
        <w:t>检索</w:t>
      </w:r>
      <w:r>
        <w:rPr>
          <w:rFonts w:ascii="宋体" w:hAnsi="宋体" w:eastAsia="宋体" w:cs="宋体"/>
          <w:szCs w:val="21"/>
        </w:rPr>
        <w:t>，确保各环节</w:t>
      </w:r>
      <w:r>
        <w:rPr>
          <w:rFonts w:hint="eastAsia" w:ascii="宋体" w:hAnsi="宋体" w:eastAsia="宋体" w:cs="宋体"/>
          <w:szCs w:val="21"/>
        </w:rPr>
        <w:t>都能</w:t>
      </w:r>
      <w:r>
        <w:rPr>
          <w:rFonts w:ascii="宋体" w:hAnsi="宋体" w:eastAsia="宋体" w:cs="宋体"/>
          <w:szCs w:val="21"/>
        </w:rPr>
        <w:t>有效追溯</w:t>
      </w:r>
      <w:r>
        <w:rPr>
          <w:rFonts w:hint="eastAsia" w:ascii="宋体" w:hAnsi="宋体" w:eastAsia="宋体" w:cs="宋体"/>
          <w:szCs w:val="21"/>
        </w:rPr>
        <w:t>。</w:t>
      </w:r>
    </w:p>
    <w:p>
      <w:pPr>
        <w:spacing w:line="360" w:lineRule="auto"/>
        <w:rPr>
          <w:rFonts w:ascii="宋体" w:hAnsi="宋体" w:eastAsia="宋体" w:cs="宋体"/>
          <w:szCs w:val="21"/>
        </w:rPr>
      </w:pPr>
      <w:r>
        <w:rPr>
          <w:rFonts w:ascii="宋体" w:hAnsi="宋体" w:eastAsia="宋体" w:cs="宋体"/>
          <w:szCs w:val="21"/>
        </w:rPr>
        <w:t xml:space="preserve">9.2 </w:t>
      </w:r>
      <w:r>
        <w:rPr>
          <w:rFonts w:hint="eastAsia" w:ascii="宋体" w:hAnsi="宋体" w:eastAsia="宋体" w:cs="宋体"/>
          <w:szCs w:val="21"/>
        </w:rPr>
        <w:t>如</w:t>
      </w:r>
      <w:r>
        <w:rPr>
          <w:rFonts w:ascii="宋体" w:hAnsi="宋体" w:eastAsia="宋体" w:cs="宋体"/>
          <w:szCs w:val="21"/>
        </w:rPr>
        <w:t>发生产品召回时，应详细记录</w:t>
      </w:r>
      <w:r>
        <w:rPr>
          <w:rFonts w:hint="eastAsia" w:ascii="宋体" w:hAnsi="宋体" w:eastAsia="宋体" w:cs="宋体"/>
          <w:szCs w:val="21"/>
        </w:rPr>
        <w:t>召回</w:t>
      </w:r>
      <w:r>
        <w:rPr>
          <w:rFonts w:ascii="宋体" w:hAnsi="宋体" w:eastAsia="宋体" w:cs="宋体"/>
          <w:szCs w:val="21"/>
        </w:rPr>
        <w:t>产品名称、</w:t>
      </w:r>
      <w:r>
        <w:rPr>
          <w:rFonts w:hint="eastAsia" w:ascii="宋体" w:hAnsi="宋体" w:eastAsia="宋体" w:cs="宋体"/>
          <w:szCs w:val="21"/>
        </w:rPr>
        <w:t>批次</w:t>
      </w:r>
      <w:r>
        <w:rPr>
          <w:rFonts w:ascii="宋体" w:hAnsi="宋体" w:eastAsia="宋体" w:cs="宋体"/>
          <w:szCs w:val="21"/>
        </w:rPr>
        <w:t>、规格、数量、</w:t>
      </w:r>
      <w:r>
        <w:rPr>
          <w:rFonts w:hint="eastAsia" w:ascii="宋体" w:hAnsi="宋体" w:eastAsia="宋体" w:cs="宋体"/>
          <w:szCs w:val="21"/>
        </w:rPr>
        <w:t>召回</w:t>
      </w:r>
      <w:r>
        <w:rPr>
          <w:rFonts w:ascii="宋体" w:hAnsi="宋体" w:eastAsia="宋体" w:cs="宋体"/>
          <w:szCs w:val="21"/>
        </w:rPr>
        <w:t>原因</w:t>
      </w:r>
      <w:r>
        <w:rPr>
          <w:rFonts w:hint="eastAsia" w:ascii="宋体" w:hAnsi="宋体" w:eastAsia="宋体" w:cs="宋体"/>
          <w:szCs w:val="21"/>
        </w:rPr>
        <w:t>及</w:t>
      </w:r>
      <w:r>
        <w:rPr>
          <w:rFonts w:ascii="宋体" w:hAnsi="宋体" w:eastAsia="宋体" w:cs="宋体"/>
          <w:szCs w:val="21"/>
        </w:rPr>
        <w:t>后续处理措施</w:t>
      </w:r>
      <w:r>
        <w:rPr>
          <w:rFonts w:hint="eastAsia" w:ascii="宋体" w:hAnsi="宋体" w:eastAsia="宋体" w:cs="宋体"/>
          <w:szCs w:val="21"/>
        </w:rPr>
        <w:t>等</w:t>
      </w:r>
      <w:r>
        <w:rPr>
          <w:rFonts w:ascii="宋体" w:hAnsi="宋体" w:eastAsia="宋体" w:cs="宋体"/>
          <w:szCs w:val="21"/>
        </w:rPr>
        <w:t>内容。</w:t>
      </w:r>
    </w:p>
    <w:p>
      <w:pPr>
        <w:spacing w:line="360" w:lineRule="auto"/>
        <w:rPr>
          <w:rFonts w:ascii="宋体" w:hAnsi="宋体" w:eastAsia="宋体" w:cs="宋体"/>
          <w:szCs w:val="21"/>
        </w:rPr>
      </w:pPr>
      <w:r>
        <w:rPr>
          <w:rFonts w:ascii="宋体" w:hAnsi="宋体" w:eastAsia="宋体" w:cs="宋体"/>
          <w:szCs w:val="21"/>
        </w:rPr>
        <w:t xml:space="preserve">9.3 </w:t>
      </w:r>
      <w:r>
        <w:rPr>
          <w:rFonts w:hint="eastAsia" w:ascii="宋体" w:hAnsi="宋体" w:eastAsia="宋体" w:cs="宋体"/>
          <w:szCs w:val="21"/>
        </w:rPr>
        <w:t>记录</w:t>
      </w:r>
      <w:r>
        <w:rPr>
          <w:rFonts w:ascii="宋体" w:hAnsi="宋体" w:eastAsia="宋体" w:cs="宋体"/>
          <w:szCs w:val="21"/>
        </w:rPr>
        <w:t>保存期限应不少于该批产品销售后</w:t>
      </w:r>
      <w:r>
        <w:rPr>
          <w:rFonts w:hint="eastAsia" w:ascii="宋体" w:hAnsi="宋体" w:eastAsia="宋体" w:cs="宋体"/>
          <w:szCs w:val="21"/>
        </w:rPr>
        <w:t>三年</w:t>
      </w:r>
      <w:r>
        <w:rPr>
          <w:rFonts w:ascii="宋体" w:hAnsi="宋体" w:eastAsia="宋体" w:cs="宋体"/>
          <w:szCs w:val="21"/>
        </w:rPr>
        <w:t>。</w:t>
      </w:r>
    </w:p>
    <w:p>
      <w:pPr>
        <w:spacing w:line="360" w:lineRule="auto"/>
        <w:ind w:firstLine="2319" w:firstLineChars="1100"/>
        <w:rPr>
          <w:rFonts w:ascii="黑体" w:hAnsi="黑体" w:eastAsia="黑体" w:cs="黑体"/>
          <w:b/>
          <w:bCs/>
          <w:szCs w:val="21"/>
          <w:u w:val="single"/>
        </w:rPr>
      </w:pPr>
    </w:p>
    <w:p>
      <w:pPr>
        <w:spacing w:line="360" w:lineRule="auto"/>
        <w:ind w:firstLine="2319" w:firstLineChars="1100"/>
        <w:rPr>
          <w:rFonts w:ascii="宋体" w:hAnsi="宋体" w:eastAsia="宋体" w:cs="宋体"/>
          <w:szCs w:val="21"/>
        </w:rPr>
      </w:pPr>
      <w:r>
        <w:rPr>
          <w:rFonts w:ascii="黑体" w:hAnsi="黑体" w:eastAsia="黑体" w:cs="黑体"/>
          <w:b/>
          <w:bCs/>
          <w:szCs w:val="21"/>
          <w:u w:val="single"/>
        </w:rPr>
        <w:t xml:space="preserve">                                          </w:t>
      </w:r>
    </w:p>
    <w:sectPr>
      <w:footerReference r:id="rId4" w:type="default"/>
      <w:pgSz w:w="11906" w:h="16838"/>
      <w:pgMar w:top="1134" w:right="1134" w:bottom="1134"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圆简体">
    <w:altName w:val="宋体"/>
    <w:panose1 w:val="02010601030101010101"/>
    <w:charset w:val="86"/>
    <w:family w:val="auto"/>
    <w:pitch w:val="default"/>
    <w:sig w:usb0="00000000" w:usb1="00000000" w:usb2="00000010" w:usb3="00000000" w:csb0="00040000" w:csb1="00000000"/>
  </w:font>
  <w:font w:name="方正粗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52375"/>
    <w:multiLevelType w:val="multilevel"/>
    <w:tmpl w:val="3C15237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3MDdkNDY1NWYxNTg1YjgyZjZhMTUxYjk3YmVlNTIifQ=="/>
  </w:docVars>
  <w:rsids>
    <w:rsidRoot w:val="00963607"/>
    <w:rsid w:val="00005D54"/>
    <w:rsid w:val="00006D1A"/>
    <w:rsid w:val="00012181"/>
    <w:rsid w:val="0001707D"/>
    <w:rsid w:val="00032D64"/>
    <w:rsid w:val="00041353"/>
    <w:rsid w:val="00052F20"/>
    <w:rsid w:val="0005307F"/>
    <w:rsid w:val="00053B05"/>
    <w:rsid w:val="000540B1"/>
    <w:rsid w:val="0006307E"/>
    <w:rsid w:val="00063448"/>
    <w:rsid w:val="000634D9"/>
    <w:rsid w:val="00070154"/>
    <w:rsid w:val="00077C10"/>
    <w:rsid w:val="00087833"/>
    <w:rsid w:val="00096320"/>
    <w:rsid w:val="000A6FDB"/>
    <w:rsid w:val="000A700B"/>
    <w:rsid w:val="000A7379"/>
    <w:rsid w:val="000A756F"/>
    <w:rsid w:val="000A7E68"/>
    <w:rsid w:val="000B789E"/>
    <w:rsid w:val="000C6233"/>
    <w:rsid w:val="000C682F"/>
    <w:rsid w:val="000D36FF"/>
    <w:rsid w:val="000F3E17"/>
    <w:rsid w:val="000F6C6D"/>
    <w:rsid w:val="00106ECA"/>
    <w:rsid w:val="00112462"/>
    <w:rsid w:val="00113B7E"/>
    <w:rsid w:val="00115DE7"/>
    <w:rsid w:val="0012211D"/>
    <w:rsid w:val="001253DA"/>
    <w:rsid w:val="001323AD"/>
    <w:rsid w:val="00134A35"/>
    <w:rsid w:val="00145ECE"/>
    <w:rsid w:val="00147A3E"/>
    <w:rsid w:val="001512D2"/>
    <w:rsid w:val="0016187D"/>
    <w:rsid w:val="00162781"/>
    <w:rsid w:val="00184F1A"/>
    <w:rsid w:val="001918FA"/>
    <w:rsid w:val="001951C6"/>
    <w:rsid w:val="001A311D"/>
    <w:rsid w:val="001A4B28"/>
    <w:rsid w:val="001B2642"/>
    <w:rsid w:val="001C2A26"/>
    <w:rsid w:val="001C38DA"/>
    <w:rsid w:val="001C4161"/>
    <w:rsid w:val="001C6CAE"/>
    <w:rsid w:val="001C7E82"/>
    <w:rsid w:val="001D11FD"/>
    <w:rsid w:val="001D1315"/>
    <w:rsid w:val="001D2516"/>
    <w:rsid w:val="001E0948"/>
    <w:rsid w:val="001F3CF2"/>
    <w:rsid w:val="001F4030"/>
    <w:rsid w:val="001F7E7B"/>
    <w:rsid w:val="00200D11"/>
    <w:rsid w:val="00203DFB"/>
    <w:rsid w:val="002045FB"/>
    <w:rsid w:val="00227CED"/>
    <w:rsid w:val="002544F4"/>
    <w:rsid w:val="00256D7B"/>
    <w:rsid w:val="00266F91"/>
    <w:rsid w:val="00267A1D"/>
    <w:rsid w:val="00275D14"/>
    <w:rsid w:val="002B38C4"/>
    <w:rsid w:val="002D24E2"/>
    <w:rsid w:val="002D3CE5"/>
    <w:rsid w:val="002D62D1"/>
    <w:rsid w:val="002D6A42"/>
    <w:rsid w:val="002D6C32"/>
    <w:rsid w:val="002E1714"/>
    <w:rsid w:val="002E1C51"/>
    <w:rsid w:val="002E4D34"/>
    <w:rsid w:val="002E5406"/>
    <w:rsid w:val="00311185"/>
    <w:rsid w:val="0031221F"/>
    <w:rsid w:val="0031474C"/>
    <w:rsid w:val="00321EB5"/>
    <w:rsid w:val="00326CB7"/>
    <w:rsid w:val="00337703"/>
    <w:rsid w:val="00340A7D"/>
    <w:rsid w:val="0034440A"/>
    <w:rsid w:val="00346A6B"/>
    <w:rsid w:val="00347B64"/>
    <w:rsid w:val="003570B0"/>
    <w:rsid w:val="0036031E"/>
    <w:rsid w:val="00364917"/>
    <w:rsid w:val="00365359"/>
    <w:rsid w:val="00367210"/>
    <w:rsid w:val="00371DF3"/>
    <w:rsid w:val="0037235F"/>
    <w:rsid w:val="00372696"/>
    <w:rsid w:val="00372A10"/>
    <w:rsid w:val="00372F7E"/>
    <w:rsid w:val="00375DDC"/>
    <w:rsid w:val="00381F0D"/>
    <w:rsid w:val="003824A3"/>
    <w:rsid w:val="0038251C"/>
    <w:rsid w:val="00392AC2"/>
    <w:rsid w:val="00395AD3"/>
    <w:rsid w:val="003A3C3C"/>
    <w:rsid w:val="003B2F78"/>
    <w:rsid w:val="003B43E4"/>
    <w:rsid w:val="003B779D"/>
    <w:rsid w:val="003C042E"/>
    <w:rsid w:val="003C29C4"/>
    <w:rsid w:val="003C6209"/>
    <w:rsid w:val="003D1FC1"/>
    <w:rsid w:val="003E5B32"/>
    <w:rsid w:val="003F0994"/>
    <w:rsid w:val="00400A7A"/>
    <w:rsid w:val="0040429B"/>
    <w:rsid w:val="004112C5"/>
    <w:rsid w:val="00424D6C"/>
    <w:rsid w:val="00434045"/>
    <w:rsid w:val="00436280"/>
    <w:rsid w:val="00436875"/>
    <w:rsid w:val="00444DBF"/>
    <w:rsid w:val="00451322"/>
    <w:rsid w:val="00455D08"/>
    <w:rsid w:val="00456B07"/>
    <w:rsid w:val="00461999"/>
    <w:rsid w:val="00481953"/>
    <w:rsid w:val="00485B65"/>
    <w:rsid w:val="0048633B"/>
    <w:rsid w:val="004A6684"/>
    <w:rsid w:val="004A6951"/>
    <w:rsid w:val="004A6DC3"/>
    <w:rsid w:val="004A7FD2"/>
    <w:rsid w:val="004B4633"/>
    <w:rsid w:val="004B6FE1"/>
    <w:rsid w:val="004B739A"/>
    <w:rsid w:val="004C1EBD"/>
    <w:rsid w:val="004C282D"/>
    <w:rsid w:val="004C3219"/>
    <w:rsid w:val="004C3472"/>
    <w:rsid w:val="004D1D86"/>
    <w:rsid w:val="004D73B4"/>
    <w:rsid w:val="004E1BAE"/>
    <w:rsid w:val="004E1C88"/>
    <w:rsid w:val="004E45A9"/>
    <w:rsid w:val="004F045F"/>
    <w:rsid w:val="00500941"/>
    <w:rsid w:val="00516F75"/>
    <w:rsid w:val="00526913"/>
    <w:rsid w:val="00555D5D"/>
    <w:rsid w:val="005619CA"/>
    <w:rsid w:val="00561A67"/>
    <w:rsid w:val="0057357A"/>
    <w:rsid w:val="00592EA1"/>
    <w:rsid w:val="005B133F"/>
    <w:rsid w:val="005B3B34"/>
    <w:rsid w:val="005B4802"/>
    <w:rsid w:val="005C2B1C"/>
    <w:rsid w:val="005D6B30"/>
    <w:rsid w:val="005F6DD3"/>
    <w:rsid w:val="00606470"/>
    <w:rsid w:val="00625068"/>
    <w:rsid w:val="00632DF2"/>
    <w:rsid w:val="00637BB5"/>
    <w:rsid w:val="00642385"/>
    <w:rsid w:val="00663468"/>
    <w:rsid w:val="006711A3"/>
    <w:rsid w:val="00684EAA"/>
    <w:rsid w:val="00687326"/>
    <w:rsid w:val="00695E5C"/>
    <w:rsid w:val="006A2DDB"/>
    <w:rsid w:val="006D31A8"/>
    <w:rsid w:val="006E0138"/>
    <w:rsid w:val="006E13E9"/>
    <w:rsid w:val="006E374B"/>
    <w:rsid w:val="006E454C"/>
    <w:rsid w:val="006E7918"/>
    <w:rsid w:val="006E7CDF"/>
    <w:rsid w:val="006F06C6"/>
    <w:rsid w:val="006F0CCE"/>
    <w:rsid w:val="006F1ADD"/>
    <w:rsid w:val="006F224C"/>
    <w:rsid w:val="006F5CA1"/>
    <w:rsid w:val="006F72C8"/>
    <w:rsid w:val="00700EF6"/>
    <w:rsid w:val="00710AB1"/>
    <w:rsid w:val="00716A1B"/>
    <w:rsid w:val="00741282"/>
    <w:rsid w:val="00746E06"/>
    <w:rsid w:val="00767C9C"/>
    <w:rsid w:val="0079585A"/>
    <w:rsid w:val="00796BEF"/>
    <w:rsid w:val="007A369E"/>
    <w:rsid w:val="007A6C99"/>
    <w:rsid w:val="007B711E"/>
    <w:rsid w:val="007C4985"/>
    <w:rsid w:val="007C670F"/>
    <w:rsid w:val="007E2702"/>
    <w:rsid w:val="007E7FDC"/>
    <w:rsid w:val="007F3463"/>
    <w:rsid w:val="007F53FA"/>
    <w:rsid w:val="008059DA"/>
    <w:rsid w:val="00817C86"/>
    <w:rsid w:val="00821D87"/>
    <w:rsid w:val="00826CC5"/>
    <w:rsid w:val="00827D2E"/>
    <w:rsid w:val="00833BB4"/>
    <w:rsid w:val="00834CE4"/>
    <w:rsid w:val="008370A2"/>
    <w:rsid w:val="008412F7"/>
    <w:rsid w:val="0084176C"/>
    <w:rsid w:val="00851BD6"/>
    <w:rsid w:val="008529F9"/>
    <w:rsid w:val="0085482B"/>
    <w:rsid w:val="00866D86"/>
    <w:rsid w:val="008703FC"/>
    <w:rsid w:val="008747DA"/>
    <w:rsid w:val="00876DA7"/>
    <w:rsid w:val="00880103"/>
    <w:rsid w:val="00880183"/>
    <w:rsid w:val="0088196D"/>
    <w:rsid w:val="00883AD2"/>
    <w:rsid w:val="00893EA8"/>
    <w:rsid w:val="008A2E2F"/>
    <w:rsid w:val="008A43F0"/>
    <w:rsid w:val="008A7175"/>
    <w:rsid w:val="008B1A5A"/>
    <w:rsid w:val="008B510A"/>
    <w:rsid w:val="008B5767"/>
    <w:rsid w:val="008F1749"/>
    <w:rsid w:val="008F3CA5"/>
    <w:rsid w:val="009037AA"/>
    <w:rsid w:val="00910BFC"/>
    <w:rsid w:val="0091206B"/>
    <w:rsid w:val="009172ED"/>
    <w:rsid w:val="0092427E"/>
    <w:rsid w:val="00931026"/>
    <w:rsid w:val="009312DC"/>
    <w:rsid w:val="009327A0"/>
    <w:rsid w:val="00937655"/>
    <w:rsid w:val="00951031"/>
    <w:rsid w:val="00953EC3"/>
    <w:rsid w:val="009621CC"/>
    <w:rsid w:val="00963607"/>
    <w:rsid w:val="00965309"/>
    <w:rsid w:val="00980FB6"/>
    <w:rsid w:val="0098453D"/>
    <w:rsid w:val="00984D05"/>
    <w:rsid w:val="009951FB"/>
    <w:rsid w:val="009959A8"/>
    <w:rsid w:val="009A2EF2"/>
    <w:rsid w:val="009A61D3"/>
    <w:rsid w:val="009B386E"/>
    <w:rsid w:val="009B4E66"/>
    <w:rsid w:val="009C39C8"/>
    <w:rsid w:val="009D77FA"/>
    <w:rsid w:val="009E7646"/>
    <w:rsid w:val="009E7A6C"/>
    <w:rsid w:val="00A14DBC"/>
    <w:rsid w:val="00A21B2A"/>
    <w:rsid w:val="00A22B8F"/>
    <w:rsid w:val="00A3403A"/>
    <w:rsid w:val="00A409FF"/>
    <w:rsid w:val="00A450FC"/>
    <w:rsid w:val="00A524A3"/>
    <w:rsid w:val="00A53554"/>
    <w:rsid w:val="00A54DE8"/>
    <w:rsid w:val="00A63AE4"/>
    <w:rsid w:val="00A64255"/>
    <w:rsid w:val="00A77A6E"/>
    <w:rsid w:val="00AA25EA"/>
    <w:rsid w:val="00AA68CB"/>
    <w:rsid w:val="00AB3A86"/>
    <w:rsid w:val="00AC0592"/>
    <w:rsid w:val="00AC6A7D"/>
    <w:rsid w:val="00AD1281"/>
    <w:rsid w:val="00AD6F7E"/>
    <w:rsid w:val="00B0107E"/>
    <w:rsid w:val="00B0728D"/>
    <w:rsid w:val="00B112E3"/>
    <w:rsid w:val="00B124BB"/>
    <w:rsid w:val="00B13CE9"/>
    <w:rsid w:val="00B16947"/>
    <w:rsid w:val="00B20A0B"/>
    <w:rsid w:val="00B21ACE"/>
    <w:rsid w:val="00B3349B"/>
    <w:rsid w:val="00B33982"/>
    <w:rsid w:val="00B611B1"/>
    <w:rsid w:val="00B71C5D"/>
    <w:rsid w:val="00B76D80"/>
    <w:rsid w:val="00B81355"/>
    <w:rsid w:val="00B90D55"/>
    <w:rsid w:val="00B9145E"/>
    <w:rsid w:val="00B96A2F"/>
    <w:rsid w:val="00BB1A82"/>
    <w:rsid w:val="00BC5AD4"/>
    <w:rsid w:val="00BD5672"/>
    <w:rsid w:val="00BD77BE"/>
    <w:rsid w:val="00BE731E"/>
    <w:rsid w:val="00C027A0"/>
    <w:rsid w:val="00C107D8"/>
    <w:rsid w:val="00C1346C"/>
    <w:rsid w:val="00C42348"/>
    <w:rsid w:val="00C51472"/>
    <w:rsid w:val="00C54582"/>
    <w:rsid w:val="00C5509D"/>
    <w:rsid w:val="00C5635F"/>
    <w:rsid w:val="00C63249"/>
    <w:rsid w:val="00C63CEE"/>
    <w:rsid w:val="00C80F31"/>
    <w:rsid w:val="00C81D4C"/>
    <w:rsid w:val="00C87F57"/>
    <w:rsid w:val="00C94D57"/>
    <w:rsid w:val="00C95383"/>
    <w:rsid w:val="00CA0F22"/>
    <w:rsid w:val="00CA1697"/>
    <w:rsid w:val="00CB6A4E"/>
    <w:rsid w:val="00CC7CD8"/>
    <w:rsid w:val="00CF2F0D"/>
    <w:rsid w:val="00CF7D81"/>
    <w:rsid w:val="00D17A6D"/>
    <w:rsid w:val="00D215E4"/>
    <w:rsid w:val="00D21C56"/>
    <w:rsid w:val="00D3456D"/>
    <w:rsid w:val="00D34B78"/>
    <w:rsid w:val="00D40ADA"/>
    <w:rsid w:val="00D4360F"/>
    <w:rsid w:val="00D47004"/>
    <w:rsid w:val="00D50A40"/>
    <w:rsid w:val="00D5134A"/>
    <w:rsid w:val="00D57683"/>
    <w:rsid w:val="00D60889"/>
    <w:rsid w:val="00D61C8C"/>
    <w:rsid w:val="00D61D5B"/>
    <w:rsid w:val="00D62031"/>
    <w:rsid w:val="00D628EA"/>
    <w:rsid w:val="00D63D45"/>
    <w:rsid w:val="00D660EE"/>
    <w:rsid w:val="00D9146B"/>
    <w:rsid w:val="00D91BF2"/>
    <w:rsid w:val="00DB000C"/>
    <w:rsid w:val="00DB7EBC"/>
    <w:rsid w:val="00DC1CB9"/>
    <w:rsid w:val="00DC523D"/>
    <w:rsid w:val="00DC744C"/>
    <w:rsid w:val="00DD7ACA"/>
    <w:rsid w:val="00DE53C1"/>
    <w:rsid w:val="00DF1BFD"/>
    <w:rsid w:val="00DF6AE1"/>
    <w:rsid w:val="00DF6FC3"/>
    <w:rsid w:val="00E179CD"/>
    <w:rsid w:val="00E24FA7"/>
    <w:rsid w:val="00E27480"/>
    <w:rsid w:val="00E316EC"/>
    <w:rsid w:val="00E44BAD"/>
    <w:rsid w:val="00E50167"/>
    <w:rsid w:val="00E5111F"/>
    <w:rsid w:val="00E544C5"/>
    <w:rsid w:val="00E63AB5"/>
    <w:rsid w:val="00E644F4"/>
    <w:rsid w:val="00E72937"/>
    <w:rsid w:val="00E72BA4"/>
    <w:rsid w:val="00E76734"/>
    <w:rsid w:val="00E80902"/>
    <w:rsid w:val="00E8344D"/>
    <w:rsid w:val="00E923C1"/>
    <w:rsid w:val="00E926ED"/>
    <w:rsid w:val="00EA63EC"/>
    <w:rsid w:val="00EB15B7"/>
    <w:rsid w:val="00EB30B0"/>
    <w:rsid w:val="00EB5AFA"/>
    <w:rsid w:val="00EB74B5"/>
    <w:rsid w:val="00EC1B95"/>
    <w:rsid w:val="00EC5D4E"/>
    <w:rsid w:val="00EC60C0"/>
    <w:rsid w:val="00EC7CDF"/>
    <w:rsid w:val="00ED2CBB"/>
    <w:rsid w:val="00ED690F"/>
    <w:rsid w:val="00EE612C"/>
    <w:rsid w:val="00EE786A"/>
    <w:rsid w:val="00EF2A27"/>
    <w:rsid w:val="00EF408B"/>
    <w:rsid w:val="00F05F85"/>
    <w:rsid w:val="00F31E74"/>
    <w:rsid w:val="00F32026"/>
    <w:rsid w:val="00F477A0"/>
    <w:rsid w:val="00F51B14"/>
    <w:rsid w:val="00F55C54"/>
    <w:rsid w:val="00F60607"/>
    <w:rsid w:val="00F72795"/>
    <w:rsid w:val="00F74126"/>
    <w:rsid w:val="00F82D96"/>
    <w:rsid w:val="00F9591F"/>
    <w:rsid w:val="00F976CF"/>
    <w:rsid w:val="00FA073A"/>
    <w:rsid w:val="00FA19E5"/>
    <w:rsid w:val="00FA4F8E"/>
    <w:rsid w:val="00FB03F8"/>
    <w:rsid w:val="00FC2FD0"/>
    <w:rsid w:val="00FD31DC"/>
    <w:rsid w:val="00FE2781"/>
    <w:rsid w:val="01AA6F26"/>
    <w:rsid w:val="01C94621"/>
    <w:rsid w:val="022A4F39"/>
    <w:rsid w:val="03786900"/>
    <w:rsid w:val="040F13EF"/>
    <w:rsid w:val="04115F0B"/>
    <w:rsid w:val="041E2A74"/>
    <w:rsid w:val="05752A5E"/>
    <w:rsid w:val="078C016D"/>
    <w:rsid w:val="079E5A62"/>
    <w:rsid w:val="07A40DAC"/>
    <w:rsid w:val="080853B5"/>
    <w:rsid w:val="087913AA"/>
    <w:rsid w:val="08C24B7A"/>
    <w:rsid w:val="08E0248B"/>
    <w:rsid w:val="09F242A4"/>
    <w:rsid w:val="0AE45654"/>
    <w:rsid w:val="0C122F66"/>
    <w:rsid w:val="0C55638C"/>
    <w:rsid w:val="0D8B3E99"/>
    <w:rsid w:val="0E40734E"/>
    <w:rsid w:val="0FB64C5A"/>
    <w:rsid w:val="102D4766"/>
    <w:rsid w:val="10C96CCD"/>
    <w:rsid w:val="13C449D4"/>
    <w:rsid w:val="14D53B71"/>
    <w:rsid w:val="15A3216C"/>
    <w:rsid w:val="171D40EF"/>
    <w:rsid w:val="17B57467"/>
    <w:rsid w:val="186E219B"/>
    <w:rsid w:val="18B46A98"/>
    <w:rsid w:val="1A6124FF"/>
    <w:rsid w:val="1AB777CE"/>
    <w:rsid w:val="1ADE73EF"/>
    <w:rsid w:val="1CFD12DE"/>
    <w:rsid w:val="1D63019A"/>
    <w:rsid w:val="1E0B1CF2"/>
    <w:rsid w:val="1E646C2E"/>
    <w:rsid w:val="1E6F3881"/>
    <w:rsid w:val="1EA45A9A"/>
    <w:rsid w:val="1EE31522"/>
    <w:rsid w:val="1F7933B8"/>
    <w:rsid w:val="1F7E7C88"/>
    <w:rsid w:val="1F8D67CD"/>
    <w:rsid w:val="1F9139C8"/>
    <w:rsid w:val="1FAD5A38"/>
    <w:rsid w:val="1FC369A5"/>
    <w:rsid w:val="1FE819FF"/>
    <w:rsid w:val="205D023D"/>
    <w:rsid w:val="209E6653"/>
    <w:rsid w:val="20FE718F"/>
    <w:rsid w:val="210B3A33"/>
    <w:rsid w:val="213E095D"/>
    <w:rsid w:val="21E11BE2"/>
    <w:rsid w:val="22A17B3A"/>
    <w:rsid w:val="23436AE1"/>
    <w:rsid w:val="235A09E6"/>
    <w:rsid w:val="238538B8"/>
    <w:rsid w:val="240B258B"/>
    <w:rsid w:val="246160F0"/>
    <w:rsid w:val="25942047"/>
    <w:rsid w:val="262643D7"/>
    <w:rsid w:val="266221F5"/>
    <w:rsid w:val="26697918"/>
    <w:rsid w:val="269D722F"/>
    <w:rsid w:val="28205907"/>
    <w:rsid w:val="2A626E7E"/>
    <w:rsid w:val="2A8F222D"/>
    <w:rsid w:val="2AA91022"/>
    <w:rsid w:val="2BD06788"/>
    <w:rsid w:val="2CBD461A"/>
    <w:rsid w:val="2CF5618E"/>
    <w:rsid w:val="2D1235F6"/>
    <w:rsid w:val="2D2E1335"/>
    <w:rsid w:val="2D9F371C"/>
    <w:rsid w:val="2DBF0BF6"/>
    <w:rsid w:val="2DE220FB"/>
    <w:rsid w:val="2DE342E8"/>
    <w:rsid w:val="2FE2483A"/>
    <w:rsid w:val="30736C36"/>
    <w:rsid w:val="30763050"/>
    <w:rsid w:val="30881CC8"/>
    <w:rsid w:val="30AB3544"/>
    <w:rsid w:val="30DD11C6"/>
    <w:rsid w:val="30FE03D3"/>
    <w:rsid w:val="319925F1"/>
    <w:rsid w:val="31ED4093"/>
    <w:rsid w:val="329A19A0"/>
    <w:rsid w:val="32C36BF0"/>
    <w:rsid w:val="32CA1829"/>
    <w:rsid w:val="330276F2"/>
    <w:rsid w:val="33417CA9"/>
    <w:rsid w:val="33643B2A"/>
    <w:rsid w:val="34877ACE"/>
    <w:rsid w:val="34E265D7"/>
    <w:rsid w:val="35045459"/>
    <w:rsid w:val="36987792"/>
    <w:rsid w:val="382662BC"/>
    <w:rsid w:val="382E7B34"/>
    <w:rsid w:val="385B46DB"/>
    <w:rsid w:val="388B68E5"/>
    <w:rsid w:val="38DD71F3"/>
    <w:rsid w:val="39056447"/>
    <w:rsid w:val="398D465F"/>
    <w:rsid w:val="3A9F2456"/>
    <w:rsid w:val="3AC13428"/>
    <w:rsid w:val="3C2029C2"/>
    <w:rsid w:val="3D5A763B"/>
    <w:rsid w:val="3E1A13B7"/>
    <w:rsid w:val="3E1E06B7"/>
    <w:rsid w:val="3E9F5EBE"/>
    <w:rsid w:val="3EAE6846"/>
    <w:rsid w:val="3FA66378"/>
    <w:rsid w:val="402B6D46"/>
    <w:rsid w:val="408E533F"/>
    <w:rsid w:val="40A03455"/>
    <w:rsid w:val="40C01322"/>
    <w:rsid w:val="411A2DCD"/>
    <w:rsid w:val="411D09D2"/>
    <w:rsid w:val="420F1709"/>
    <w:rsid w:val="423268D4"/>
    <w:rsid w:val="425E2AD5"/>
    <w:rsid w:val="4281245E"/>
    <w:rsid w:val="42F44722"/>
    <w:rsid w:val="43A22B62"/>
    <w:rsid w:val="4409634F"/>
    <w:rsid w:val="4440166D"/>
    <w:rsid w:val="44422941"/>
    <w:rsid w:val="45805C12"/>
    <w:rsid w:val="46E75522"/>
    <w:rsid w:val="46F10A4B"/>
    <w:rsid w:val="470E0B21"/>
    <w:rsid w:val="47885FFF"/>
    <w:rsid w:val="49C740DD"/>
    <w:rsid w:val="4B6B269D"/>
    <w:rsid w:val="4C8A0DED"/>
    <w:rsid w:val="4C9E49BB"/>
    <w:rsid w:val="4CA10532"/>
    <w:rsid w:val="4CD36496"/>
    <w:rsid w:val="4CE86108"/>
    <w:rsid w:val="4D44129E"/>
    <w:rsid w:val="4EE16E50"/>
    <w:rsid w:val="4EF23DCF"/>
    <w:rsid w:val="4FCF3335"/>
    <w:rsid w:val="508F58D5"/>
    <w:rsid w:val="50AB71D5"/>
    <w:rsid w:val="5292312C"/>
    <w:rsid w:val="52AC232F"/>
    <w:rsid w:val="52C53C16"/>
    <w:rsid w:val="53F478C2"/>
    <w:rsid w:val="55A519FB"/>
    <w:rsid w:val="55BB7960"/>
    <w:rsid w:val="56B256CE"/>
    <w:rsid w:val="57090DE8"/>
    <w:rsid w:val="5781092F"/>
    <w:rsid w:val="59957AAB"/>
    <w:rsid w:val="59C134C1"/>
    <w:rsid w:val="59E02B4F"/>
    <w:rsid w:val="5A234171"/>
    <w:rsid w:val="5A72769D"/>
    <w:rsid w:val="5A9867D3"/>
    <w:rsid w:val="5AAF5DA7"/>
    <w:rsid w:val="5BFD777D"/>
    <w:rsid w:val="5DEA0CC9"/>
    <w:rsid w:val="5E0614C7"/>
    <w:rsid w:val="5F27164A"/>
    <w:rsid w:val="5F2F377B"/>
    <w:rsid w:val="60A84F84"/>
    <w:rsid w:val="60EF3916"/>
    <w:rsid w:val="616808A9"/>
    <w:rsid w:val="61C74533"/>
    <w:rsid w:val="638059E9"/>
    <w:rsid w:val="63C1532D"/>
    <w:rsid w:val="640365B1"/>
    <w:rsid w:val="64DD018B"/>
    <w:rsid w:val="67C13950"/>
    <w:rsid w:val="69B05CEE"/>
    <w:rsid w:val="69CC400E"/>
    <w:rsid w:val="6B0377EC"/>
    <w:rsid w:val="6B580E47"/>
    <w:rsid w:val="6C2713A1"/>
    <w:rsid w:val="6CF85B72"/>
    <w:rsid w:val="6D354240"/>
    <w:rsid w:val="6D8F6F9B"/>
    <w:rsid w:val="6EF119CD"/>
    <w:rsid w:val="6FDFC231"/>
    <w:rsid w:val="70635095"/>
    <w:rsid w:val="717F096C"/>
    <w:rsid w:val="71C30F95"/>
    <w:rsid w:val="72A61BCF"/>
    <w:rsid w:val="72EA26F2"/>
    <w:rsid w:val="72FC4012"/>
    <w:rsid w:val="730824ED"/>
    <w:rsid w:val="739E7A8E"/>
    <w:rsid w:val="73FB0499"/>
    <w:rsid w:val="7504454C"/>
    <w:rsid w:val="76290282"/>
    <w:rsid w:val="763E1717"/>
    <w:rsid w:val="7707116F"/>
    <w:rsid w:val="77EC6317"/>
    <w:rsid w:val="78534FC1"/>
    <w:rsid w:val="78855E4E"/>
    <w:rsid w:val="79560CCB"/>
    <w:rsid w:val="796B375B"/>
    <w:rsid w:val="79F05A04"/>
    <w:rsid w:val="7A4D480B"/>
    <w:rsid w:val="7AD04CEC"/>
    <w:rsid w:val="7B9E4599"/>
    <w:rsid w:val="7C0D50E6"/>
    <w:rsid w:val="7CB91963"/>
    <w:rsid w:val="7DFB9747"/>
    <w:rsid w:val="7E8E52B7"/>
    <w:rsid w:val="7E95130F"/>
    <w:rsid w:val="7ED539AB"/>
    <w:rsid w:val="9AAC465C"/>
    <w:rsid w:val="AE7A76EB"/>
    <w:rsid w:val="B79EB6E9"/>
    <w:rsid w:val="C5EB4CCE"/>
    <w:rsid w:val="EFDE177D"/>
    <w:rsid w:val="F9FF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4"/>
    <w:qFormat/>
    <w:uiPriority w:val="0"/>
    <w:pPr>
      <w:jc w:val="left"/>
    </w:pPr>
  </w:style>
  <w:style w:type="paragraph" w:styleId="5">
    <w:name w:val="Date"/>
    <w:basedOn w:val="1"/>
    <w:next w:val="1"/>
    <w:link w:val="24"/>
    <w:semiHidden/>
    <w:unhideWhenUsed/>
    <w:qFormat/>
    <w:uiPriority w:val="0"/>
    <w:pPr>
      <w:ind w:left="100" w:leftChars="2500"/>
    </w:pPr>
  </w:style>
  <w:style w:type="paragraph" w:styleId="6">
    <w:name w:val="Balloon Text"/>
    <w:basedOn w:val="1"/>
    <w:link w:val="2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15"/>
    <w:qFormat/>
    <w:uiPriority w:val="0"/>
    <w:rPr>
      <w:b/>
      <w:bCs/>
    </w:rPr>
  </w:style>
  <w:style w:type="character" w:styleId="12">
    <w:name w:val="annotation reference"/>
    <w:basedOn w:val="11"/>
    <w:qFormat/>
    <w:uiPriority w:val="0"/>
    <w:rPr>
      <w:sz w:val="21"/>
      <w:szCs w:val="21"/>
    </w:rPr>
  </w:style>
  <w:style w:type="paragraph" w:styleId="13">
    <w:name w:val="List Paragraph"/>
    <w:basedOn w:val="1"/>
    <w:qFormat/>
    <w:uiPriority w:val="34"/>
    <w:pPr>
      <w:ind w:firstLine="420" w:firstLineChars="200"/>
    </w:pPr>
  </w:style>
  <w:style w:type="character" w:customStyle="1" w:styleId="14">
    <w:name w:val="批注文字 字符"/>
    <w:basedOn w:val="11"/>
    <w:link w:val="4"/>
    <w:qFormat/>
    <w:uiPriority w:val="0"/>
    <w:rPr>
      <w:rFonts w:asciiTheme="minorHAnsi" w:hAnsiTheme="minorHAnsi" w:eastAsiaTheme="minorEastAsia" w:cstheme="minorBidi"/>
      <w:kern w:val="2"/>
      <w:sz w:val="21"/>
      <w:szCs w:val="22"/>
    </w:rPr>
  </w:style>
  <w:style w:type="character" w:customStyle="1" w:styleId="15">
    <w:name w:val="批注主题 字符"/>
    <w:basedOn w:val="14"/>
    <w:link w:val="9"/>
    <w:qFormat/>
    <w:uiPriority w:val="0"/>
    <w:rPr>
      <w:rFonts w:asciiTheme="minorHAnsi" w:hAnsiTheme="minorHAnsi" w:eastAsiaTheme="minorEastAsia" w:cstheme="minorBidi"/>
      <w:b/>
      <w:bCs/>
      <w:kern w:val="2"/>
      <w:sz w:val="21"/>
      <w:szCs w:val="22"/>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段 Char"/>
    <w:link w:val="18"/>
    <w:qFormat/>
    <w:locked/>
    <w:uiPriority w:val="0"/>
    <w:rPr>
      <w:rFonts w:ascii="宋体" w:hAnsi="宋体"/>
      <w:sz w:val="21"/>
    </w:rPr>
  </w:style>
  <w:style w:type="paragraph" w:customStyle="1" w:styleId="18">
    <w:name w:val="段"/>
    <w:link w:val="17"/>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1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框文本 字符"/>
    <w:basedOn w:val="11"/>
    <w:link w:val="6"/>
    <w:qFormat/>
    <w:uiPriority w:val="0"/>
    <w:rPr>
      <w:rFonts w:asciiTheme="minorHAnsi" w:hAnsiTheme="minorHAnsi" w:eastAsiaTheme="minorEastAsia" w:cstheme="minorBidi"/>
      <w:kern w:val="2"/>
      <w:sz w:val="18"/>
      <w:szCs w:val="18"/>
    </w:rPr>
  </w:style>
  <w:style w:type="paragraph" w:customStyle="1" w:styleId="22">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5"/>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4">
    <w:name w:val="日期 字符"/>
    <w:basedOn w:val="11"/>
    <w:link w:val="5"/>
    <w:semiHidden/>
    <w:qFormat/>
    <w:uiPriority w:val="0"/>
    <w:rPr>
      <w:rFonts w:asciiTheme="minorHAnsi" w:hAnsiTheme="minorHAnsi" w:eastAsiaTheme="minorEastAsia" w:cstheme="minorBidi"/>
      <w:kern w:val="2"/>
      <w:sz w:val="21"/>
      <w:szCs w:val="22"/>
    </w:rPr>
  </w:style>
  <w:style w:type="paragraph" w:customStyle="1" w:styleId="25">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6">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75FCDD-CCC4-4A2A-B2D3-1EB07A22783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1757</Words>
  <Characters>2055</Characters>
  <Lines>17</Lines>
  <Paragraphs>4</Paragraphs>
  <TotalTime>4</TotalTime>
  <ScaleCrop>false</ScaleCrop>
  <LinksUpToDate>false</LinksUpToDate>
  <CharactersWithSpaces>2220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2022-10-17T03:18:00Z</dcterms:created>
  <dc:creator>Administrator.PC-20190304KZNF</dc:creator>
  <cp:lastModifiedBy>孙振华</cp:lastModifiedBy>
  <cp:lastPrinted>2022-09-28T07:24:00Z</cp:lastPrinted>
  <dcterms:modified xsi:type="dcterms:W3CDTF">2022-10-17T04:25:22Z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AAB5729CC721480592404A019571E18F</vt:lpwstr>
  </property>
</Properties>
</file>